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462">
        <w:rPr>
          <w:rFonts w:ascii="Times New Roman" w:hAnsi="Times New Roman" w:cs="Times New Roman"/>
          <w:b/>
          <w:bCs/>
          <w:sz w:val="28"/>
          <w:szCs w:val="28"/>
        </w:rPr>
        <w:t>Предоставление аналогичного товара на время ремонта</w:t>
      </w:r>
    </w:p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62">
        <w:rPr>
          <w:rFonts w:ascii="Times New Roman" w:hAnsi="Times New Roman" w:cs="Times New Roman"/>
          <w:sz w:val="28"/>
          <w:szCs w:val="28"/>
        </w:rPr>
        <w:t>На период ремонта товара длительного пользования потребитель вправе потребовать безвозмездного предоставления ему товара, обладающего теми же основными потребительскими свойствами, что и ремонтируемый товар. Требование должно быть удовлетворено в течение трех дней с момента его предъявления, указанный товар доставляется за счет лица, осуществляющего ремонт (</w:t>
      </w:r>
      <w:hyperlink r:id="rId4" w:history="1">
        <w:r w:rsidRPr="002E6462">
          <w:rPr>
            <w:rFonts w:ascii="Times New Roman" w:hAnsi="Times New Roman" w:cs="Times New Roman"/>
            <w:sz w:val="28"/>
            <w:szCs w:val="28"/>
          </w:rPr>
          <w:t>п. 2 ст. 20</w:t>
        </w:r>
      </w:hyperlink>
      <w:r w:rsidRPr="002E6462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62">
        <w:rPr>
          <w:rFonts w:ascii="Times New Roman" w:hAnsi="Times New Roman" w:cs="Times New Roman"/>
          <w:sz w:val="28"/>
          <w:szCs w:val="28"/>
        </w:rPr>
        <w:t>При этом указанное требование не может распространяться на следующие товары (</w:t>
      </w:r>
      <w:hyperlink r:id="rId5" w:history="1">
        <w:r w:rsidRPr="002E646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E6462">
        <w:rPr>
          <w:rFonts w:ascii="Times New Roman" w:hAnsi="Times New Roman" w:cs="Times New Roman"/>
          <w:sz w:val="28"/>
          <w:szCs w:val="28"/>
        </w:rPr>
        <w:t>, утв. Постановлением Правительства РФ от 19.01.1998 N 55):</w:t>
      </w:r>
    </w:p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62">
        <w:rPr>
          <w:rFonts w:ascii="Times New Roman" w:hAnsi="Times New Roman" w:cs="Times New Roman"/>
          <w:sz w:val="28"/>
          <w:szCs w:val="28"/>
        </w:rPr>
        <w:t xml:space="preserve">1) автомобили, мотоциклы и другие виды </w:t>
      </w:r>
      <w:proofErr w:type="spellStart"/>
      <w:r w:rsidRPr="002E6462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2E6462">
        <w:rPr>
          <w:rFonts w:ascii="Times New Roman" w:hAnsi="Times New Roman" w:cs="Times New Roman"/>
          <w:sz w:val="28"/>
          <w:szCs w:val="28"/>
        </w:rPr>
        <w:t xml:space="preserve">, прицепы и номерные агрегаты к ним, кроме товаров, предназначенных для инвалидов, прогулочные суда и </w:t>
      </w:r>
      <w:proofErr w:type="spellStart"/>
      <w:r w:rsidRPr="002E6462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2E6462">
        <w:rPr>
          <w:rFonts w:ascii="Times New Roman" w:hAnsi="Times New Roman" w:cs="Times New Roman"/>
          <w:sz w:val="28"/>
          <w:szCs w:val="28"/>
        </w:rPr>
        <w:t>;</w:t>
      </w:r>
    </w:p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62">
        <w:rPr>
          <w:rFonts w:ascii="Times New Roman" w:hAnsi="Times New Roman" w:cs="Times New Roman"/>
          <w:sz w:val="28"/>
          <w:szCs w:val="28"/>
        </w:rPr>
        <w:t>2) мебель;</w:t>
      </w:r>
    </w:p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62">
        <w:rPr>
          <w:rFonts w:ascii="Times New Roman" w:hAnsi="Times New Roman" w:cs="Times New Roman"/>
          <w:sz w:val="28"/>
          <w:szCs w:val="28"/>
        </w:rPr>
        <w:t xml:space="preserve">3) электробытовые приборы, используемые как предметы туалета и в медицинских целях (электробритвы, </w:t>
      </w:r>
      <w:proofErr w:type="spellStart"/>
      <w:r w:rsidRPr="002E6462">
        <w:rPr>
          <w:rFonts w:ascii="Times New Roman" w:hAnsi="Times New Roman" w:cs="Times New Roman"/>
          <w:sz w:val="28"/>
          <w:szCs w:val="28"/>
        </w:rPr>
        <w:t>электрофены</w:t>
      </w:r>
      <w:proofErr w:type="spellEnd"/>
      <w:r w:rsidRPr="002E6462">
        <w:rPr>
          <w:rFonts w:ascii="Times New Roman" w:hAnsi="Times New Roman" w:cs="Times New Roman"/>
          <w:sz w:val="28"/>
          <w:szCs w:val="28"/>
        </w:rPr>
        <w:t>, электрогрелки и другие подобные приборы, имеющие соприкосновение со слизистой и кожными покровами);</w:t>
      </w:r>
    </w:p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62">
        <w:rPr>
          <w:rFonts w:ascii="Times New Roman" w:hAnsi="Times New Roman" w:cs="Times New Roman"/>
          <w:sz w:val="28"/>
          <w:szCs w:val="28"/>
        </w:rPr>
        <w:t>4) электробытовые приборы, используемые для термической обработки продуктов и приготовления пищи (бытовые печи СВЧ, электропечи, тостеры, электрочайники и т.п.);</w:t>
      </w:r>
    </w:p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62">
        <w:rPr>
          <w:rFonts w:ascii="Times New Roman" w:hAnsi="Times New Roman" w:cs="Times New Roman"/>
          <w:sz w:val="28"/>
          <w:szCs w:val="28"/>
        </w:rPr>
        <w:t>5) гражданское оружие, основные части гражданского и служебного огнестрельного оружия.</w:t>
      </w:r>
    </w:p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462">
        <w:rPr>
          <w:rFonts w:ascii="Times New Roman" w:hAnsi="Times New Roman" w:cs="Times New Roman"/>
          <w:b/>
          <w:bCs/>
          <w:sz w:val="28"/>
          <w:szCs w:val="28"/>
        </w:rPr>
        <w:t>Продление гарантийного срока на товар в случае гарантийного ремонта</w:t>
      </w:r>
    </w:p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62">
        <w:rPr>
          <w:rFonts w:ascii="Times New Roman" w:hAnsi="Times New Roman" w:cs="Times New Roman"/>
          <w:sz w:val="28"/>
          <w:szCs w:val="28"/>
        </w:rPr>
        <w:t>После устранения недостатков товара гарантийный срок на него продлевается на период, в течение которого товар не использовался, то есть на период со дня обращения потребителя с требованием об устранении недостатков товара до дня выдачи его по окончании ремонта. При выдаче товара информация о дате такого обращения, дате передачи товара для ремонта, дате устранения недостатка с его описанием, об использованных деталях (материалах) и о дате выдачи отремонтированного товара предоставляется потребителю в письменной форме (</w:t>
      </w:r>
      <w:hyperlink r:id="rId6" w:history="1">
        <w:r w:rsidRPr="002E6462">
          <w:rPr>
            <w:rFonts w:ascii="Times New Roman" w:hAnsi="Times New Roman" w:cs="Times New Roman"/>
            <w:sz w:val="28"/>
            <w:szCs w:val="28"/>
          </w:rPr>
          <w:t>п. 3 ст. 20</w:t>
        </w:r>
      </w:hyperlink>
      <w:r w:rsidRPr="002E6462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F70A22" w:rsidRPr="002E6462" w:rsidRDefault="00F70A22" w:rsidP="00F70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62">
        <w:rPr>
          <w:rFonts w:ascii="Times New Roman" w:hAnsi="Times New Roman" w:cs="Times New Roman"/>
          <w:sz w:val="28"/>
          <w:szCs w:val="28"/>
        </w:rPr>
        <w:t>Если недостатки товара устранены путем замены комплектующего изделия (составной части товара), на которые установлены гарантийные сроки, то и на новое комплектующее изделие (составную часть) устанавливается тот же гарантийный срок, что и на замененное комплектующее изделие (составную часть), если иное не предусмотрено договором. Гарантийный срок исчисляется со дня выдачи потребителю товара по окончании ремонта (</w:t>
      </w:r>
      <w:hyperlink r:id="rId7" w:history="1">
        <w:r w:rsidRPr="002E6462">
          <w:rPr>
            <w:rFonts w:ascii="Times New Roman" w:hAnsi="Times New Roman" w:cs="Times New Roman"/>
            <w:sz w:val="28"/>
            <w:szCs w:val="28"/>
          </w:rPr>
          <w:t>п. 4 ст. 20</w:t>
        </w:r>
      </w:hyperlink>
      <w:r w:rsidRPr="002E6462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70A22"/>
    <w:rsid w:val="002B7BE5"/>
    <w:rsid w:val="002E6462"/>
    <w:rsid w:val="00393F71"/>
    <w:rsid w:val="009126F6"/>
    <w:rsid w:val="00B74EC2"/>
    <w:rsid w:val="00D95BB4"/>
    <w:rsid w:val="00F7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DA5FC569BAD25798AC2A8516FC889EB4A2B0A222209A383856A44FD92CE1ECB03BA161792CD592E49E0C3EAF64EAD43B71C031C61BD179n5f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A5FC569BAD25798AC2A8516FC889EB4A2B0A222209A383856A44FD92CE1ECB03BA1637A2780C6A8C0556DE32FE7D42D6DC032nDf1K" TargetMode="External"/><Relationship Id="rId5" Type="http://schemas.openxmlformats.org/officeDocument/2006/relationships/hyperlink" Target="consultantplus://offline/ref=0CDA5FC569BAD25798AC2A8516FC889EB5ABBAA725269A383856A44FD92CE1ECB03BA161792CD796E89E0C3EAF64EAD43B71C031C61BD179n5fDK" TargetMode="External"/><Relationship Id="rId4" Type="http://schemas.openxmlformats.org/officeDocument/2006/relationships/hyperlink" Target="consultantplus://offline/ref=0CDA5FC569BAD25798AC2A8516FC889EB4A2B0A222209A383856A44FD92CE1ECB03BA1637B2780C6A8C0556DE32FE7D42D6DC032nDf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2020-02-12T11:44:00Z</dcterms:created>
  <dcterms:modified xsi:type="dcterms:W3CDTF">2020-02-18T10:10:00Z</dcterms:modified>
</cp:coreProperties>
</file>