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015D6">
        <w:rPr>
          <w:rFonts w:ascii="Times New Roman" w:hAnsi="Times New Roman" w:cs="Times New Roman"/>
          <w:b/>
          <w:sz w:val="28"/>
          <w:szCs w:val="28"/>
        </w:rPr>
        <w:t>4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015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 w:rsidR="00A01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D6">
        <w:rPr>
          <w:rFonts w:ascii="Times New Roman" w:hAnsi="Times New Roman" w:cs="Times New Roman"/>
          <w:sz w:val="28"/>
          <w:szCs w:val="28"/>
        </w:rPr>
        <w:t>очередных заседания Думы Чайковского городского округа</w:t>
      </w:r>
      <w:r w:rsidR="00174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46F0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82C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F46F0A">
        <w:rPr>
          <w:rFonts w:ascii="Times New Roman" w:hAnsi="Times New Roman" w:cs="Times New Roman"/>
          <w:sz w:val="28"/>
          <w:szCs w:val="28"/>
        </w:rPr>
        <w:t>27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5422">
        <w:rPr>
          <w:rFonts w:ascii="Times New Roman" w:hAnsi="Times New Roman" w:cs="Times New Roman"/>
          <w:sz w:val="28"/>
          <w:szCs w:val="28"/>
        </w:rPr>
        <w:t>й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C524A6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A6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60157C">
        <w:rPr>
          <w:rFonts w:ascii="Times New Roman" w:hAnsi="Times New Roman" w:cs="Times New Roman"/>
          <w:sz w:val="28"/>
          <w:szCs w:val="28"/>
        </w:rPr>
        <w:t>х</w:t>
      </w:r>
      <w:r w:rsidRPr="00C524A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C524A6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524A6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524A6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0C5018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FA70D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DC">
        <w:rPr>
          <w:rFonts w:ascii="Times New Roman" w:hAnsi="Times New Roman" w:cs="Times New Roman"/>
          <w:sz w:val="28"/>
          <w:szCs w:val="28"/>
        </w:rPr>
        <w:t xml:space="preserve">В </w:t>
      </w:r>
      <w:r w:rsidR="006926C3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46F0A">
        <w:rPr>
          <w:rFonts w:ascii="Times New Roman" w:hAnsi="Times New Roman" w:cs="Times New Roman"/>
          <w:sz w:val="28"/>
          <w:szCs w:val="28"/>
        </w:rPr>
        <w:t>4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FA70DC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Pr="00FA70DC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F46F0A">
        <w:rPr>
          <w:rFonts w:ascii="Times New Roman" w:hAnsi="Times New Roman" w:cs="Times New Roman"/>
          <w:sz w:val="28"/>
          <w:szCs w:val="28"/>
        </w:rPr>
        <w:t>8</w:t>
      </w:r>
      <w:r w:rsidRPr="00FA70DC">
        <w:rPr>
          <w:rFonts w:ascii="Times New Roman" w:hAnsi="Times New Roman" w:cs="Times New Roman"/>
          <w:sz w:val="28"/>
          <w:szCs w:val="28"/>
        </w:rPr>
        <w:t xml:space="preserve"> информационных вопрос</w:t>
      </w:r>
      <w:r w:rsidR="0086140C">
        <w:rPr>
          <w:rFonts w:ascii="Times New Roman" w:hAnsi="Times New Roman" w:cs="Times New Roman"/>
          <w:sz w:val="28"/>
          <w:szCs w:val="28"/>
        </w:rPr>
        <w:t>ов</w:t>
      </w:r>
      <w:r w:rsidRPr="00FA70DC">
        <w:rPr>
          <w:rFonts w:ascii="Times New Roman" w:hAnsi="Times New Roman" w:cs="Times New Roman"/>
          <w:sz w:val="28"/>
          <w:szCs w:val="28"/>
        </w:rPr>
        <w:t>. Перечень информационных вопросов представлен в Таблице 3.</w:t>
      </w:r>
    </w:p>
    <w:p w:rsidR="0056035A" w:rsidRPr="000C5018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CB30CF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CB30CF">
        <w:rPr>
          <w:rFonts w:ascii="Times New Roman" w:hAnsi="Times New Roman" w:cs="Times New Roman"/>
          <w:sz w:val="28"/>
          <w:szCs w:val="28"/>
        </w:rPr>
        <w:t>Д</w:t>
      </w:r>
      <w:r w:rsidRPr="00CB30CF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B74543">
        <w:rPr>
          <w:rFonts w:ascii="Times New Roman" w:hAnsi="Times New Roman" w:cs="Times New Roman"/>
          <w:sz w:val="28"/>
          <w:szCs w:val="28"/>
        </w:rPr>
        <w:t>217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писем (</w:t>
      </w:r>
      <w:r w:rsidR="00B74543">
        <w:rPr>
          <w:rFonts w:ascii="Times New Roman" w:hAnsi="Times New Roman" w:cs="Times New Roman"/>
          <w:sz w:val="28"/>
          <w:szCs w:val="28"/>
        </w:rPr>
        <w:t>79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A9" w:rsidRPr="00CB30CF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0366F8">
        <w:rPr>
          <w:rFonts w:ascii="Times New Roman" w:hAnsi="Times New Roman" w:cs="Times New Roman"/>
          <w:sz w:val="28"/>
          <w:szCs w:val="28"/>
        </w:rPr>
        <w:t>7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E27474">
        <w:rPr>
          <w:rFonts w:ascii="Times New Roman" w:hAnsi="Times New Roman" w:cs="Times New Roman"/>
          <w:sz w:val="28"/>
          <w:szCs w:val="28"/>
        </w:rPr>
        <w:t>й</w:t>
      </w:r>
      <w:r w:rsidR="006F31FE" w:rsidRPr="00CB30CF">
        <w:rPr>
          <w:rFonts w:ascii="Times New Roman" w:hAnsi="Times New Roman" w:cs="Times New Roman"/>
          <w:sz w:val="28"/>
          <w:szCs w:val="28"/>
        </w:rPr>
        <w:t>:</w:t>
      </w:r>
    </w:p>
    <w:p w:rsidR="00CB30CF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 вопросам благоустройства территории;</w:t>
      </w:r>
    </w:p>
    <w:p w:rsidR="00AC35DB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прекращении полномочий старосты сельского населенного пункта;</w:t>
      </w:r>
    </w:p>
    <w:p w:rsidR="00AC35DB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предоставлении копии решения Думы Чайковского городского округа;</w:t>
      </w:r>
    </w:p>
    <w:p w:rsidR="00AC35DB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работе общественной организации;</w:t>
      </w:r>
    </w:p>
    <w:p w:rsidR="00AC35DB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 земельным вопросам;</w:t>
      </w:r>
    </w:p>
    <w:p w:rsidR="00AC35DB" w:rsidRPr="00CB30CF" w:rsidRDefault="00AC35D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личном приеме граждан.</w:t>
      </w:r>
    </w:p>
    <w:p w:rsidR="00CB30CF" w:rsidRPr="00CB30CF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CB30CF">
        <w:rPr>
          <w:rFonts w:ascii="Times New Roman" w:hAnsi="Times New Roman" w:cs="Times New Roman"/>
          <w:sz w:val="28"/>
          <w:szCs w:val="28"/>
        </w:rPr>
        <w:t>ых</w:t>
      </w:r>
      <w:r w:rsidRPr="00CB30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CB30CF">
        <w:rPr>
          <w:rFonts w:ascii="Times New Roman" w:hAnsi="Times New Roman" w:cs="Times New Roman"/>
          <w:sz w:val="28"/>
          <w:szCs w:val="28"/>
        </w:rPr>
        <w:t>ов</w:t>
      </w:r>
      <w:r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B2EB8">
        <w:rPr>
          <w:rFonts w:ascii="Times New Roman" w:hAnsi="Times New Roman" w:cs="Times New Roman"/>
          <w:sz w:val="28"/>
          <w:szCs w:val="28"/>
        </w:rPr>
        <w:t>5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 акт</w:t>
      </w:r>
      <w:r w:rsidR="006B2EB8">
        <w:rPr>
          <w:rFonts w:ascii="Times New Roman" w:hAnsi="Times New Roman" w:cs="Times New Roman"/>
          <w:sz w:val="28"/>
          <w:szCs w:val="28"/>
        </w:rPr>
        <w:t xml:space="preserve">ов </w:t>
      </w:r>
      <w:r w:rsidR="00CB30CF" w:rsidRPr="00CB30CF">
        <w:rPr>
          <w:rFonts w:ascii="Times New Roman" w:hAnsi="Times New Roman" w:cs="Times New Roman"/>
          <w:sz w:val="28"/>
          <w:szCs w:val="28"/>
        </w:rPr>
        <w:t>прокурорского реагирования:</w:t>
      </w:r>
    </w:p>
    <w:p w:rsidR="00EB1772" w:rsidRDefault="00CB30CF" w:rsidP="008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>
        <w:rPr>
          <w:rFonts w:ascii="Times New Roman" w:hAnsi="Times New Roman" w:cs="Times New Roman"/>
          <w:sz w:val="28"/>
          <w:szCs w:val="28"/>
        </w:rPr>
        <w:t xml:space="preserve">–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1 </w:t>
      </w:r>
      <w:r w:rsidR="006B2EB8">
        <w:rPr>
          <w:rFonts w:ascii="Times New Roman" w:hAnsi="Times New Roman" w:cs="Times New Roman"/>
          <w:sz w:val="28"/>
          <w:szCs w:val="28"/>
        </w:rPr>
        <w:t>замечание;</w:t>
      </w:r>
      <w:r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6B2EB8">
        <w:rPr>
          <w:rFonts w:ascii="Times New Roman" w:hAnsi="Times New Roman" w:cs="Times New Roman"/>
          <w:sz w:val="28"/>
          <w:szCs w:val="28"/>
        </w:rPr>
        <w:t>1 протест; 3 предложения о внесении изменений в муниципальные нормативные правовые акты.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6B2EB8">
        <w:rPr>
          <w:rFonts w:ascii="Times New Roman" w:hAnsi="Times New Roman" w:cs="Times New Roman"/>
          <w:b/>
          <w:sz w:val="28"/>
          <w:szCs w:val="28"/>
        </w:rPr>
        <w:t>4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</w:p>
        </w:tc>
      </w:tr>
      <w:tr w:rsidR="00EB2E5A" w:rsidRPr="00401C53" w:rsidTr="009849A7">
        <w:tc>
          <w:tcPr>
            <w:tcW w:w="551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B2E5A" w:rsidRPr="001B076E" w:rsidRDefault="009C62FF" w:rsidP="003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31.01.2024 № </w:t>
            </w:r>
            <w:r w:rsidR="003B3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5" w:type="dxa"/>
          </w:tcPr>
          <w:p w:rsidR="009C62FF" w:rsidRPr="001A2C98" w:rsidRDefault="009C62FF" w:rsidP="009C6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Думы Чайковского городского округа от 23.09.2020 № 403 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определении органа местного самоуправления Чайковского г</w:t>
            </w:r>
            <w:r w:rsidR="003B3F20"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 по установлению размера платы за содержание жилого помещения по договорам социального найма,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2E5A" w:rsidRPr="001A2C98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E5A" w:rsidRPr="001A2C98" w:rsidRDefault="001A2C98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EB2E5A" w:rsidRPr="001A2C98" w:rsidRDefault="00EB2E5A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1B076E" w:rsidRPr="001B076E" w:rsidRDefault="00A50931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46</w:t>
            </w:r>
          </w:p>
        </w:tc>
        <w:tc>
          <w:tcPr>
            <w:tcW w:w="3915" w:type="dxa"/>
          </w:tcPr>
          <w:p w:rsidR="003B3F20" w:rsidRPr="001A2C98" w:rsidRDefault="003B3F20" w:rsidP="003B3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Положение об Управлении экономического развития администрации Чайковского городского округа, утвержденное решением Думы Чайковского городского округа от 20.10.2021 № 546</w:t>
            </w:r>
          </w:p>
          <w:p w:rsidR="001B076E" w:rsidRPr="001A2C98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A2C98" w:rsidRDefault="001A2C98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1B076E" w:rsidRPr="001A2C98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1B076E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47</w:t>
            </w:r>
          </w:p>
        </w:tc>
        <w:tc>
          <w:tcPr>
            <w:tcW w:w="3915" w:type="dxa"/>
          </w:tcPr>
          <w:p w:rsidR="005E2CA0" w:rsidRPr="001A2C98" w:rsidRDefault="005E2CA0" w:rsidP="005E2C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Устав Чайковского городского округа</w:t>
            </w:r>
          </w:p>
          <w:p w:rsidR="001B076E" w:rsidRPr="001A2C98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</w:t>
            </w:r>
          </w:p>
        </w:tc>
        <w:tc>
          <w:tcPr>
            <w:tcW w:w="1685" w:type="dxa"/>
          </w:tcPr>
          <w:p w:rsidR="001B076E" w:rsidRPr="000B0ABC" w:rsidRDefault="001A2C98" w:rsidP="0054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08.03.2024 № 9</w:t>
            </w: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1B076E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48</w:t>
            </w:r>
          </w:p>
        </w:tc>
        <w:tc>
          <w:tcPr>
            <w:tcW w:w="3915" w:type="dxa"/>
          </w:tcPr>
          <w:p w:rsidR="001B076E" w:rsidRPr="000B0ABC" w:rsidRDefault="005E2CA0" w:rsidP="004117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решений представительных органов сельских поселений Чайковского муниципального района</w:t>
            </w:r>
          </w:p>
        </w:tc>
        <w:tc>
          <w:tcPr>
            <w:tcW w:w="1965" w:type="dxa"/>
          </w:tcPr>
          <w:p w:rsidR="001B076E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1B076E" w:rsidRPr="001A2C98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1B076E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49</w:t>
            </w:r>
          </w:p>
        </w:tc>
        <w:tc>
          <w:tcPr>
            <w:tcW w:w="3915" w:type="dxa"/>
          </w:tcPr>
          <w:p w:rsidR="001B076E" w:rsidRPr="000B0ABC" w:rsidRDefault="005E2CA0" w:rsidP="00CB7F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приложение 1 к Положению о денежном содержании муниципальных служащих Чайковского городского округа, утвержденному решением Чайковской городской Думы от 19.12.2018 № 94</w:t>
            </w:r>
          </w:p>
        </w:tc>
        <w:tc>
          <w:tcPr>
            <w:tcW w:w="1965" w:type="dxa"/>
          </w:tcPr>
          <w:p w:rsidR="001B076E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1B076E" w:rsidRPr="001A2C98" w:rsidRDefault="001B076E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4" w:type="dxa"/>
          </w:tcPr>
          <w:p w:rsidR="001B076E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50</w:t>
            </w:r>
          </w:p>
        </w:tc>
        <w:tc>
          <w:tcPr>
            <w:tcW w:w="3915" w:type="dxa"/>
          </w:tcPr>
          <w:p w:rsidR="005E2CA0" w:rsidRPr="001A2C98" w:rsidRDefault="005E2CA0" w:rsidP="005E2C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изменения в решение Думы Чайковского городского округа от 20.02.2019 № 149 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об обеспечении работников муниципальных учреждений Чайковского городского округа путевками на санаторно-курортное лечение и оздоровление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B076E" w:rsidRPr="001A2C98" w:rsidRDefault="001B076E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1B076E" w:rsidRPr="001A2C98" w:rsidRDefault="001B076E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142CEC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A50931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51</w:t>
            </w:r>
          </w:p>
        </w:tc>
        <w:tc>
          <w:tcPr>
            <w:tcW w:w="3915" w:type="dxa"/>
            <w:vAlign w:val="bottom"/>
          </w:tcPr>
          <w:p w:rsidR="00A50931" w:rsidRPr="001A2C98" w:rsidRDefault="00A50931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муниципальной преференции ООО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Оффицина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:rsidR="00A50931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A50931" w:rsidRPr="001A2C98" w:rsidRDefault="00A50931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142CEC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A50931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 52</w:t>
            </w:r>
          </w:p>
        </w:tc>
        <w:tc>
          <w:tcPr>
            <w:tcW w:w="3915" w:type="dxa"/>
            <w:vAlign w:val="bottom"/>
          </w:tcPr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Положение о Благодарственному письме Думы Чайковского городского округа, утвержденное решением Думы Чайковского городского округа от 18.12.2019 № 341</w:t>
            </w:r>
          </w:p>
        </w:tc>
        <w:tc>
          <w:tcPr>
            <w:tcW w:w="1965" w:type="dxa"/>
          </w:tcPr>
          <w:p w:rsidR="00A50931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02.02.2024 № 4</w:t>
            </w:r>
          </w:p>
          <w:p w:rsidR="00A50931" w:rsidRPr="001A2C98" w:rsidRDefault="00A50931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142CEC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A50931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53</w:t>
            </w:r>
          </w:p>
        </w:tc>
        <w:tc>
          <w:tcPr>
            <w:tcW w:w="3915" w:type="dxa"/>
            <w:vAlign w:val="bottom"/>
          </w:tcPr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ежегодном отчете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от 18.12.2019 № 340</w:t>
            </w:r>
          </w:p>
        </w:tc>
        <w:tc>
          <w:tcPr>
            <w:tcW w:w="1965" w:type="dxa"/>
          </w:tcPr>
          <w:p w:rsidR="00A50931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A50931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54</w:t>
            </w:r>
          </w:p>
        </w:tc>
        <w:tc>
          <w:tcPr>
            <w:tcW w:w="3915" w:type="dxa"/>
            <w:vAlign w:val="bottom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Думы Чайковского городского округа от 22.11.2023 №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Чайковского городского округа на 2024 год и на плановый период 2025 и 2026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A50931" w:rsidRPr="001B076E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55</w:t>
            </w:r>
          </w:p>
        </w:tc>
        <w:tc>
          <w:tcPr>
            <w:tcW w:w="3915" w:type="dxa"/>
            <w:vAlign w:val="bottom"/>
          </w:tcPr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формирования и использования муниципального дорожного фонда Чайковского городского округа, утвержденный решением Чайковской городской Думы от 24.10.2018 № 47</w:t>
            </w: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56</w:t>
            </w:r>
          </w:p>
        </w:tc>
        <w:tc>
          <w:tcPr>
            <w:tcW w:w="3915" w:type="dxa"/>
            <w:vAlign w:val="bottom"/>
          </w:tcPr>
          <w:p w:rsidR="00A50931" w:rsidRPr="001A2C98" w:rsidRDefault="00A50931" w:rsidP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изменения в пункт 3.3 решения Чайковской городской Думы от 24.10.2018 № 50 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земельного налога на территории Чайковского городского округа</w:t>
            </w:r>
            <w:r w:rsid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50931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Pr="001A2C98" w:rsidRDefault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4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57</w:t>
            </w:r>
          </w:p>
        </w:tc>
        <w:tc>
          <w:tcPr>
            <w:tcW w:w="3915" w:type="dxa"/>
            <w:vAlign w:val="bottom"/>
          </w:tcPr>
          <w:p w:rsidR="00A50931" w:rsidRPr="001A2C98" w:rsidRDefault="00A50931" w:rsidP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22.09.2021 № 537</w:t>
            </w:r>
          </w:p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58</w:t>
            </w:r>
          </w:p>
        </w:tc>
        <w:tc>
          <w:tcPr>
            <w:tcW w:w="3915" w:type="dxa"/>
            <w:vAlign w:val="bottom"/>
          </w:tcPr>
          <w:p w:rsidR="00A50931" w:rsidRPr="001A2C98" w:rsidRDefault="00A50931" w:rsidP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Чайковского городского округа, утвержденное решением Думы Чайковского городского округа от 22.09.2021 № 540</w:t>
            </w:r>
          </w:p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A50931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59</w:t>
            </w:r>
          </w:p>
        </w:tc>
        <w:tc>
          <w:tcPr>
            <w:tcW w:w="3915" w:type="dxa"/>
            <w:vAlign w:val="bottom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</w:t>
            </w:r>
          </w:p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31" w:rsidRPr="00401C53" w:rsidTr="00846E1D">
        <w:tc>
          <w:tcPr>
            <w:tcW w:w="551" w:type="dxa"/>
          </w:tcPr>
          <w:p w:rsidR="00A50931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A50931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60</w:t>
            </w:r>
          </w:p>
        </w:tc>
        <w:tc>
          <w:tcPr>
            <w:tcW w:w="3915" w:type="dxa"/>
            <w:vAlign w:val="bottom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досрочном прекращении полномочий старосты д. Бормист Чайковского городского округа</w:t>
            </w:r>
          </w:p>
          <w:p w:rsidR="00A50931" w:rsidRPr="001A2C98" w:rsidRDefault="00A5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0931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A50931" w:rsidRPr="001A2C98" w:rsidRDefault="00A5093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8" w:rsidRPr="00401C53" w:rsidTr="00846E1D">
        <w:tc>
          <w:tcPr>
            <w:tcW w:w="551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61</w:t>
            </w:r>
          </w:p>
        </w:tc>
        <w:tc>
          <w:tcPr>
            <w:tcW w:w="3915" w:type="dxa"/>
            <w:vAlign w:val="bottom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состава Молодежного парламента Чайковского городского округа</w:t>
            </w:r>
          </w:p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2C98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A2C98" w:rsidRPr="001A2C98" w:rsidRDefault="001A2C98" w:rsidP="001A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23.02.2024 № 7</w:t>
            </w:r>
          </w:p>
          <w:p w:rsidR="001A2C98" w:rsidRP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8" w:rsidRPr="00401C53" w:rsidTr="00846E1D">
        <w:tc>
          <w:tcPr>
            <w:tcW w:w="551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 № 62</w:t>
            </w:r>
          </w:p>
        </w:tc>
        <w:tc>
          <w:tcPr>
            <w:tcW w:w="3915" w:type="dxa"/>
            <w:vAlign w:val="bottom"/>
          </w:tcPr>
          <w:p w:rsidR="001A2C98" w:rsidRP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протесте прокурора на Правила благоустройства Чайковского городского округа</w:t>
            </w:r>
          </w:p>
          <w:p w:rsidR="001A2C98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Pr="001A2C98" w:rsidRDefault="000B0ABC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2C98" w:rsidRPr="001A2C98" w:rsidRDefault="001A2C98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A2C98" w:rsidRP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8" w:rsidRPr="00401C53" w:rsidTr="00846E1D">
        <w:tc>
          <w:tcPr>
            <w:tcW w:w="551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4" w:type="dxa"/>
          </w:tcPr>
          <w:p w:rsidR="001A2C98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63</w:t>
            </w:r>
          </w:p>
        </w:tc>
        <w:tc>
          <w:tcPr>
            <w:tcW w:w="3915" w:type="dxa"/>
            <w:vAlign w:val="bottom"/>
          </w:tcPr>
          <w:p w:rsidR="001A2C98" w:rsidRPr="000B0ABC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Думы Чайковского городского округа от 22.11.2023 № 24 «О бюджете Чайковского городского округа на 2024 год и на плановый период 2025 и 2026 годов» </w:t>
            </w:r>
          </w:p>
          <w:p w:rsidR="001A2C98" w:rsidRPr="000B0ABC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2C98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1A2C98" w:rsidRPr="000B0ABC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8" w:rsidRPr="00401C53" w:rsidTr="00846E1D">
        <w:tc>
          <w:tcPr>
            <w:tcW w:w="551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1A2C98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64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создания, реорганизации и ликвидации муниципальных унитарных предприятий Чайковского городского округа, утвержденное решением Чайковской городской Думы от 23.01.2019 № 142</w:t>
            </w:r>
          </w:p>
          <w:p w:rsidR="001A2C98" w:rsidRPr="000B0ABC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2C98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1A2C98" w:rsidRPr="000B0ABC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98" w:rsidRPr="00401C53" w:rsidTr="00846E1D">
        <w:tc>
          <w:tcPr>
            <w:tcW w:w="551" w:type="dxa"/>
          </w:tcPr>
          <w:p w:rsidR="001A2C98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1A2C98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65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осуществлении муниципального контроля в области охраны и использования особо охраняемых природных территорий местного значения на территории Чайковского городского округа, утвержденное решением Думы Чайковского городского округа от 22.09.2021 № 539</w:t>
            </w:r>
          </w:p>
          <w:p w:rsidR="001A2C98" w:rsidRPr="000B0ABC" w:rsidRDefault="001A2C98" w:rsidP="001A2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2C98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1A2C98" w:rsidRPr="000B0ABC" w:rsidRDefault="001A2C98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66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Чайковского городского округа, утвержденное решением Думы Чайковского городского округа от 22.09.2021 № 538</w:t>
            </w: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67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состава территориальной трехсторонней комиссии по регулированию социально-трудовых отношений на территории Чайковского городского округа</w:t>
            </w: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68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назначении старосты п. Буренка Чайковского городского округа</w:t>
            </w:r>
          </w:p>
          <w:p w:rsid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69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назначении старосты с. Зипуново Чайковского городского округа</w:t>
            </w: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70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возмещения расходов, связанных с осуществлением депутатских полномочий, депутату Думы Чайковского городского округа, утвержденное решением Думы Чайковского городского округа от 20.11.2019 № 333</w:t>
            </w: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0B0ABC" w:rsidRPr="000B0ABC" w:rsidRDefault="000B0ABC" w:rsidP="000B0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МСУ от 22.03.2024 № 11</w:t>
            </w:r>
          </w:p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BC" w:rsidRPr="00401C53" w:rsidTr="00846E1D">
        <w:tc>
          <w:tcPr>
            <w:tcW w:w="551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№ 71</w:t>
            </w:r>
          </w:p>
        </w:tc>
        <w:tc>
          <w:tcPr>
            <w:tcW w:w="3915" w:type="dxa"/>
            <w:vAlign w:val="bottom"/>
          </w:tcPr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Отчетных материалов по показателям деятельности Думы Чайковского городского округа за период с 1 января 2023 г. по 31 декабря 2023 г.</w:t>
            </w:r>
          </w:p>
          <w:p w:rsidR="000B0ABC" w:rsidRPr="000B0ABC" w:rsidRDefault="000B0ABC" w:rsidP="000B0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0B0ABC" w:rsidRPr="000B0ABC" w:rsidRDefault="000B0AB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0B0ABC" w:rsidRPr="000B0ABC" w:rsidRDefault="000B0AB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  <w:r w:rsidR="008108A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108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108AC">
        <w:rPr>
          <w:rFonts w:ascii="Times New Roman" w:hAnsi="Times New Roman" w:cs="Times New Roman"/>
          <w:b/>
          <w:sz w:val="24"/>
          <w:szCs w:val="24"/>
        </w:rPr>
        <w:t xml:space="preserve"> квартале 2024 года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8108AC" w:rsidTr="00216CB4">
        <w:tc>
          <w:tcPr>
            <w:tcW w:w="595" w:type="dxa"/>
            <w:vMerge w:val="restart"/>
          </w:tcPr>
          <w:p w:rsidR="008108AC" w:rsidRPr="002F0476" w:rsidRDefault="008108AC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4" w:type="dxa"/>
            <w:vMerge w:val="restart"/>
          </w:tcPr>
          <w:p w:rsidR="008108AC" w:rsidRPr="002F0476" w:rsidRDefault="008108AC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8108AC" w:rsidRPr="002F0476" w:rsidRDefault="008108AC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8108AC" w:rsidRPr="002F0476" w:rsidRDefault="008108AC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8108AC" w:rsidTr="00F13154">
        <w:tc>
          <w:tcPr>
            <w:tcW w:w="595" w:type="dxa"/>
            <w:vMerge/>
          </w:tcPr>
          <w:p w:rsidR="008108AC" w:rsidRPr="002F0476" w:rsidRDefault="008108A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8108AC" w:rsidRPr="002F0476" w:rsidRDefault="008108A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8AC" w:rsidRPr="002F0476" w:rsidRDefault="008108A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8108AC" w:rsidRPr="002F0476" w:rsidRDefault="008108A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8108AC" w:rsidRPr="002F0476" w:rsidRDefault="008108A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8108AC" w:rsidRPr="002F0476" w:rsidRDefault="008108A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8108AC" w:rsidTr="00216CB4">
        <w:trPr>
          <w:trHeight w:val="462"/>
        </w:trPr>
        <w:tc>
          <w:tcPr>
            <w:tcW w:w="595" w:type="dxa"/>
          </w:tcPr>
          <w:p w:rsidR="008108AC" w:rsidRPr="007D3832" w:rsidRDefault="008108AC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8108AC" w:rsidRPr="007D3832" w:rsidRDefault="008108AC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Алекберов Р.Р.</w:t>
            </w:r>
          </w:p>
        </w:tc>
        <w:tc>
          <w:tcPr>
            <w:tcW w:w="1418" w:type="dxa"/>
          </w:tcPr>
          <w:p w:rsidR="008108AC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08AC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8108AC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8108AC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12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1E689F" w:rsidRPr="007D3832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С.Н.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A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6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1E689F" w:rsidRPr="007D3832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Е.Ю.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23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1E689F" w:rsidRPr="007D3832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Н.М.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 xml:space="preserve"> (2)*</w:t>
            </w:r>
          </w:p>
        </w:tc>
      </w:tr>
      <w:tr w:rsidR="001E689F" w:rsidTr="00216CB4">
        <w:trPr>
          <w:trHeight w:val="416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1E689F" w:rsidRPr="007D3832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Вахрина А.С.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394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1E689F" w:rsidRPr="007D3832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 Р.Х.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27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А.В.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05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26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 xml:space="preserve"> (2)*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С.В.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09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15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89F" w:rsidTr="00216CB4">
        <w:trPr>
          <w:trHeight w:val="422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Мозуль Е.В.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 xml:space="preserve"> (1)*</w:t>
            </w:r>
          </w:p>
        </w:tc>
      </w:tr>
      <w:tr w:rsidR="001E689F" w:rsidTr="00216CB4">
        <w:trPr>
          <w:trHeight w:val="411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Р.В.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18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689F" w:rsidTr="00216CB4">
        <w:trPr>
          <w:trHeight w:val="423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М.А.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15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393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14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89F" w:rsidTr="00216CB4">
        <w:trPr>
          <w:trHeight w:val="419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89F" w:rsidTr="00216CB4">
        <w:trPr>
          <w:trHeight w:val="425"/>
        </w:trPr>
        <w:tc>
          <w:tcPr>
            <w:tcW w:w="595" w:type="dxa"/>
          </w:tcPr>
          <w:p w:rsidR="001E689F" w:rsidRPr="007D3832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Чаузова Ю.З.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 xml:space="preserve"> (1)*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 А.С.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 Д.В.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A9420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89F" w:rsidRPr="00481DEC" w:rsidRDefault="00A9420F" w:rsidP="00A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6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689F" w:rsidTr="00216CB4">
        <w:trPr>
          <w:trHeight w:val="417"/>
        </w:trPr>
        <w:tc>
          <w:tcPr>
            <w:tcW w:w="595" w:type="dxa"/>
          </w:tcPr>
          <w:p w:rsidR="001E689F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4" w:type="dxa"/>
          </w:tcPr>
          <w:p w:rsidR="001E689F" w:rsidRDefault="001E689F" w:rsidP="00F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1E689F" w:rsidRPr="001E689F" w:rsidRDefault="001E689F" w:rsidP="001E689F">
            <w:pPr>
              <w:jc w:val="center"/>
              <w:rPr>
                <w:rFonts w:ascii="Times New Roman" w:hAnsi="Times New Roman" w:cs="Times New Roman"/>
              </w:rPr>
            </w:pPr>
            <w:r w:rsidRPr="001E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E689F" w:rsidRPr="00481DEC" w:rsidRDefault="001E689F" w:rsidP="00F6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E689F" w:rsidRPr="00481DEC" w:rsidRDefault="001E689F" w:rsidP="00A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108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866D62" w:rsidRDefault="000B0ABC" w:rsidP="0086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«Территориальное развитие Чайковского городского округа», подпрограммы «</w:t>
            </w:r>
            <w:r w:rsidR="00861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системы водоснабжения и водоотведения», мероприятие «</w:t>
            </w:r>
            <w:r w:rsidR="0009712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водопровода в мик</w:t>
            </w:r>
            <w:r w:rsidR="00097121">
              <w:rPr>
                <w:rFonts w:ascii="Times New Roman" w:hAnsi="Times New Roman" w:cs="Times New Roman"/>
                <w:sz w:val="24"/>
                <w:szCs w:val="24"/>
              </w:rPr>
              <w:t>рорайонах Завьялово-2, Завьялово-3 (разработка ПСД) за 2021-2022 годы</w:t>
            </w:r>
          </w:p>
        </w:tc>
        <w:tc>
          <w:tcPr>
            <w:tcW w:w="1949" w:type="dxa"/>
          </w:tcPr>
          <w:p w:rsidR="00EB1772" w:rsidRPr="0056035A" w:rsidRDefault="00097121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EB1772" w:rsidRPr="00D44600" w:rsidRDefault="00D44600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00">
              <w:rPr>
                <w:rFonts w:ascii="Times New Roman" w:hAnsi="Times New Roman" w:cs="Times New Roman"/>
                <w:sz w:val="24"/>
                <w:szCs w:val="24"/>
              </w:rPr>
              <w:t>О качестве содержания дорог общего пользования местного значения (в том числе к социальным объектам), своевременный вывоз снега с обочин дорог</w:t>
            </w:r>
          </w:p>
        </w:tc>
        <w:tc>
          <w:tcPr>
            <w:tcW w:w="1949" w:type="dxa"/>
          </w:tcPr>
          <w:p w:rsidR="00EB1772" w:rsidRPr="0056035A" w:rsidRDefault="00D4460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24.01.2024*</w:t>
            </w:r>
          </w:p>
        </w:tc>
      </w:tr>
      <w:tr w:rsidR="00866D62" w:rsidTr="00A106C0">
        <w:tc>
          <w:tcPr>
            <w:tcW w:w="540" w:type="dxa"/>
          </w:tcPr>
          <w:p w:rsidR="00866D62" w:rsidRPr="00A106C0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866D62" w:rsidRPr="00D44600" w:rsidRDefault="00D44600" w:rsidP="0086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00">
              <w:rPr>
                <w:rFonts w:ascii="Times New Roman" w:hAnsi="Times New Roman" w:cs="Times New Roman"/>
                <w:sz w:val="24"/>
                <w:szCs w:val="24"/>
              </w:rPr>
              <w:t>О концепции развития, обустройств</w:t>
            </w:r>
            <w:r w:rsidR="00861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600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стиле контейнерных площадок на территории округа</w:t>
            </w:r>
          </w:p>
        </w:tc>
        <w:tc>
          <w:tcPr>
            <w:tcW w:w="1949" w:type="dxa"/>
          </w:tcPr>
          <w:p w:rsidR="00866D62" w:rsidRPr="0086140C" w:rsidRDefault="00D44600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C">
              <w:rPr>
                <w:rFonts w:ascii="Times New Roman" w:hAnsi="Times New Roman" w:cs="Times New Roman"/>
                <w:sz w:val="24"/>
                <w:szCs w:val="24"/>
              </w:rPr>
              <w:t>24.01.2024*</w:t>
            </w:r>
          </w:p>
        </w:tc>
      </w:tr>
      <w:tr w:rsidR="00866D62" w:rsidTr="00A106C0">
        <w:tc>
          <w:tcPr>
            <w:tcW w:w="540" w:type="dxa"/>
          </w:tcPr>
          <w:p w:rsidR="00866D62" w:rsidRPr="00A106C0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866D62" w:rsidRPr="00D44600" w:rsidRDefault="00D44600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00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летнему сезону детских площадок</w:t>
            </w:r>
          </w:p>
        </w:tc>
        <w:tc>
          <w:tcPr>
            <w:tcW w:w="1949" w:type="dxa"/>
          </w:tcPr>
          <w:p w:rsidR="00866D62" w:rsidRPr="00D44600" w:rsidRDefault="00D44600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00">
              <w:rPr>
                <w:rFonts w:ascii="Times New Roman" w:hAnsi="Times New Roman" w:cs="Times New Roman"/>
                <w:sz w:val="24"/>
                <w:szCs w:val="24"/>
              </w:rPr>
              <w:t>24.01.2024*</w:t>
            </w:r>
          </w:p>
        </w:tc>
      </w:tr>
      <w:tr w:rsidR="00D44600" w:rsidTr="00A106C0">
        <w:tc>
          <w:tcPr>
            <w:tcW w:w="540" w:type="dxa"/>
          </w:tcPr>
          <w:p w:rsidR="00D44600" w:rsidRPr="00A106C0" w:rsidRDefault="00D4460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D44600" w:rsidRPr="00D44600" w:rsidRDefault="00D44600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Отдела МВД России по Чайковскому городскому округу по итогам 12-ти месяцев 2023 года</w:t>
            </w:r>
          </w:p>
        </w:tc>
        <w:tc>
          <w:tcPr>
            <w:tcW w:w="1949" w:type="dxa"/>
          </w:tcPr>
          <w:p w:rsidR="00D44600" w:rsidRPr="00D44600" w:rsidRDefault="00D44600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D44600" w:rsidTr="00A106C0">
        <w:tc>
          <w:tcPr>
            <w:tcW w:w="540" w:type="dxa"/>
          </w:tcPr>
          <w:p w:rsidR="00D44600" w:rsidRPr="00A106C0" w:rsidRDefault="00D4460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D44600" w:rsidRPr="00D44600" w:rsidRDefault="00D44600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«Развитие культуры и молодежной политики Чайковского городского округа», подпрограммы «Сохранение и развитие культурного потенциала Чайковского городского округа» в рамках реализации национального проекта «Культура», регионального проекта «Культурная среда»: приобретение передвижных многофункциональных культур</w:t>
            </w:r>
            <w:r w:rsidR="00F46F0A">
              <w:rPr>
                <w:rFonts w:ascii="Times New Roman" w:hAnsi="Times New Roman" w:cs="Times New Roman"/>
                <w:sz w:val="24"/>
                <w:szCs w:val="24"/>
              </w:rPr>
              <w:t>ных центров (автоклубов) для обслуживания сельского населения» в отношении Управления культуры и молодежной политики администрации Чайковского городского округа, муниципального автономного учреждения культуры «Чайковский центр развития культуры»</w:t>
            </w:r>
          </w:p>
        </w:tc>
        <w:tc>
          <w:tcPr>
            <w:tcW w:w="1949" w:type="dxa"/>
          </w:tcPr>
          <w:p w:rsidR="00D44600" w:rsidRPr="00D44600" w:rsidRDefault="00F46F0A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D44600" w:rsidTr="00A106C0">
        <w:tc>
          <w:tcPr>
            <w:tcW w:w="540" w:type="dxa"/>
          </w:tcPr>
          <w:p w:rsidR="00D44600" w:rsidRPr="00A106C0" w:rsidRDefault="00F46F0A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D44600" w:rsidRPr="00D44600" w:rsidRDefault="00F46F0A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муниципальной программы «Развитие образования Чайковского городского округа», подпрограммы «Обеспечение реализации программы», задача «Организация процесса управления системой образования», мероприятие «Обеспечение выполнения функций органами местного самоуправления» в отношении Управления образования администрации Чайковского городского округа за 2022 год и текущий период 2023 года</w:t>
            </w:r>
          </w:p>
        </w:tc>
        <w:tc>
          <w:tcPr>
            <w:tcW w:w="1949" w:type="dxa"/>
          </w:tcPr>
          <w:p w:rsidR="00D44600" w:rsidRPr="00D44600" w:rsidRDefault="00F46F0A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D44600" w:rsidTr="00A106C0">
        <w:tc>
          <w:tcPr>
            <w:tcW w:w="540" w:type="dxa"/>
          </w:tcPr>
          <w:p w:rsidR="00D44600" w:rsidRPr="00A106C0" w:rsidRDefault="00F46F0A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D44600" w:rsidRPr="00D44600" w:rsidRDefault="00F46F0A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приватизации имущества Чайковского городского округа за 2023 год</w:t>
            </w:r>
          </w:p>
        </w:tc>
        <w:tc>
          <w:tcPr>
            <w:tcW w:w="1949" w:type="dxa"/>
          </w:tcPr>
          <w:p w:rsidR="00D44600" w:rsidRPr="00D44600" w:rsidRDefault="00F46F0A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</w:tbl>
    <w:p w:rsidR="00A002BF" w:rsidRPr="00A106C0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C0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A106C0" w:rsidSect="0036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FELayout/>
  </w:compat>
  <w:rsids>
    <w:rsidRoot w:val="0076277D"/>
    <w:rsid w:val="000235E4"/>
    <w:rsid w:val="000366F8"/>
    <w:rsid w:val="00053EAD"/>
    <w:rsid w:val="00097121"/>
    <w:rsid w:val="000A272A"/>
    <w:rsid w:val="000B0ABC"/>
    <w:rsid w:val="000B201B"/>
    <w:rsid w:val="000C5018"/>
    <w:rsid w:val="000D528B"/>
    <w:rsid w:val="00136642"/>
    <w:rsid w:val="00172EC0"/>
    <w:rsid w:val="001748C6"/>
    <w:rsid w:val="00182C37"/>
    <w:rsid w:val="001A2C98"/>
    <w:rsid w:val="001B076E"/>
    <w:rsid w:val="001E689F"/>
    <w:rsid w:val="00216CB4"/>
    <w:rsid w:val="002466CF"/>
    <w:rsid w:val="002A1DFF"/>
    <w:rsid w:val="002F53D3"/>
    <w:rsid w:val="00302A2D"/>
    <w:rsid w:val="00363106"/>
    <w:rsid w:val="003857AF"/>
    <w:rsid w:val="003B3F20"/>
    <w:rsid w:val="0040365F"/>
    <w:rsid w:val="004A609B"/>
    <w:rsid w:val="00514DA3"/>
    <w:rsid w:val="00535032"/>
    <w:rsid w:val="00540E0C"/>
    <w:rsid w:val="0056035A"/>
    <w:rsid w:val="005C3D13"/>
    <w:rsid w:val="005E2CA0"/>
    <w:rsid w:val="0060157C"/>
    <w:rsid w:val="006926C3"/>
    <w:rsid w:val="006B2EB8"/>
    <w:rsid w:val="006C66A9"/>
    <w:rsid w:val="006F31FE"/>
    <w:rsid w:val="0076277D"/>
    <w:rsid w:val="007B731D"/>
    <w:rsid w:val="007D0387"/>
    <w:rsid w:val="00805422"/>
    <w:rsid w:val="00810814"/>
    <w:rsid w:val="008108AC"/>
    <w:rsid w:val="008134D4"/>
    <w:rsid w:val="0086140C"/>
    <w:rsid w:val="00866D62"/>
    <w:rsid w:val="008D3870"/>
    <w:rsid w:val="008D744C"/>
    <w:rsid w:val="009849A7"/>
    <w:rsid w:val="009910FB"/>
    <w:rsid w:val="009C62FF"/>
    <w:rsid w:val="009D5EC4"/>
    <w:rsid w:val="00A002BF"/>
    <w:rsid w:val="00A015D6"/>
    <w:rsid w:val="00A106C0"/>
    <w:rsid w:val="00A50931"/>
    <w:rsid w:val="00A9420F"/>
    <w:rsid w:val="00AC35DB"/>
    <w:rsid w:val="00AF6430"/>
    <w:rsid w:val="00B74543"/>
    <w:rsid w:val="00BA55A5"/>
    <w:rsid w:val="00BC005A"/>
    <w:rsid w:val="00BC11FE"/>
    <w:rsid w:val="00C074F1"/>
    <w:rsid w:val="00C524A6"/>
    <w:rsid w:val="00C531F5"/>
    <w:rsid w:val="00CB30CF"/>
    <w:rsid w:val="00CC019C"/>
    <w:rsid w:val="00D44600"/>
    <w:rsid w:val="00D44901"/>
    <w:rsid w:val="00D512F0"/>
    <w:rsid w:val="00D64CCD"/>
    <w:rsid w:val="00D65B3D"/>
    <w:rsid w:val="00DC1D66"/>
    <w:rsid w:val="00E26825"/>
    <w:rsid w:val="00E27474"/>
    <w:rsid w:val="00E3040D"/>
    <w:rsid w:val="00E65E4D"/>
    <w:rsid w:val="00E9438D"/>
    <w:rsid w:val="00EB1772"/>
    <w:rsid w:val="00EB2E5A"/>
    <w:rsid w:val="00F4382B"/>
    <w:rsid w:val="00F46F0A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4A4E-104B-4BB5-B5F9-612E74E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38</cp:revision>
  <cp:lastPrinted>2024-05-03T10:30:00Z</cp:lastPrinted>
  <dcterms:created xsi:type="dcterms:W3CDTF">2021-10-08T07:22:00Z</dcterms:created>
  <dcterms:modified xsi:type="dcterms:W3CDTF">2024-05-03T10:36:00Z</dcterms:modified>
</cp:coreProperties>
</file>