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B81F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58.75pt;width:199.2pt;height:115.6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" filled="f" stroked="f">
            <v:textbox inset="0,0,0,0">
              <w:txbxContent>
                <w:p w:rsidR="00FA3636" w:rsidRPr="007B1BBC" w:rsidRDefault="00B81F80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FA3636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FA3636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FA3636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FA3636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FA3636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гор</w:t>
                    </w:r>
                    <w:r w:rsidR="00694B1B">
                      <w:rPr>
                        <w:rFonts w:ascii="Times New Roman" w:hAnsi="Times New Roman"/>
                        <w:b/>
                        <w:sz w:val="28"/>
                      </w:rPr>
                      <w:t xml:space="preserve">одского округа от 26.07.2019 </w:t>
                    </w:r>
                    <w:r w:rsidR="00FA3636" w:rsidRPr="007B1BBC">
                      <w:rPr>
                        <w:rFonts w:ascii="Times New Roman" w:hAnsi="Times New Roman"/>
                        <w:b/>
                        <w:sz w:val="28"/>
                      </w:rPr>
                      <w:t>№ 1305</w:t>
                    </w:r>
                  </w:fldSimple>
                </w:p>
                <w:p w:rsidR="00FA3636" w:rsidRPr="007B1BBC" w:rsidRDefault="00FA3636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A3636" w:rsidRPr="00FB5EE3" w:rsidRDefault="00FA363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A3636" w:rsidRPr="00FB5EE3" w:rsidRDefault="00FA363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 xml:space="preserve">г. № 381-ФЗ «Об </w:t>
      </w:r>
      <w:r w:rsidR="0055629A">
        <w:rPr>
          <w:rFonts w:ascii="Times New Roman" w:hAnsi="Times New Roman"/>
          <w:sz w:val="28"/>
          <w:szCs w:val="28"/>
        </w:rPr>
        <w:t>основах</w:t>
      </w:r>
      <w:r w:rsidRPr="007B1BBC">
        <w:rPr>
          <w:rFonts w:ascii="Times New Roman" w:hAnsi="Times New Roman"/>
          <w:sz w:val="28"/>
          <w:szCs w:val="28"/>
        </w:rPr>
        <w:t xml:space="preserve">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  <w:r w:rsidR="009245C8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proofErr w:type="gramStart"/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3C047D">
        <w:rPr>
          <w:sz w:val="28"/>
          <w:szCs w:val="28"/>
          <w:lang w:eastAsia="ru-RU"/>
        </w:rPr>
        <w:t xml:space="preserve"> </w:t>
      </w:r>
      <w:r w:rsidR="00B074BD">
        <w:rPr>
          <w:sz w:val="28"/>
          <w:szCs w:val="28"/>
          <w:lang w:eastAsia="ru-RU"/>
        </w:rPr>
        <w:t>г. № 1305  (в </w:t>
      </w:r>
      <w:r w:rsidR="00D76F06" w:rsidRPr="00D76F06">
        <w:rPr>
          <w:sz w:val="28"/>
          <w:szCs w:val="28"/>
          <w:lang w:eastAsia="ru-RU"/>
        </w:rPr>
        <w:t xml:space="preserve">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D76F06">
        <w:rPr>
          <w:sz w:val="28"/>
          <w:szCs w:val="28"/>
          <w:lang w:eastAsia="ru-RU"/>
        </w:rPr>
        <w:t xml:space="preserve"> № 1157</w:t>
      </w:r>
      <w:r w:rsidR="00D76F06">
        <w:rPr>
          <w:sz w:val="28"/>
          <w:szCs w:val="28"/>
          <w:lang w:eastAsia="ru-RU"/>
        </w:rPr>
        <w:t>,</w:t>
      </w:r>
      <w:r w:rsidR="009245C8">
        <w:rPr>
          <w:sz w:val="28"/>
          <w:szCs w:val="28"/>
          <w:lang w:eastAsia="ru-RU"/>
        </w:rPr>
        <w:t xml:space="preserve"> 27.01.2021 №72,</w:t>
      </w:r>
      <w:r w:rsidR="00D76F06">
        <w:rPr>
          <w:sz w:val="28"/>
          <w:szCs w:val="28"/>
          <w:lang w:eastAsia="ru-RU"/>
        </w:rPr>
        <w:t xml:space="preserve"> от 12.03.</w:t>
      </w:r>
      <w:r w:rsidR="00B074BD">
        <w:rPr>
          <w:sz w:val="28"/>
          <w:szCs w:val="28"/>
          <w:lang w:eastAsia="ru-RU"/>
        </w:rPr>
        <w:t>2021 № </w:t>
      </w:r>
      <w:r w:rsidR="00D76F06">
        <w:rPr>
          <w:sz w:val="28"/>
          <w:szCs w:val="28"/>
          <w:lang w:eastAsia="ru-RU"/>
        </w:rPr>
        <w:t>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 № 558</w:t>
      </w:r>
      <w:r w:rsidR="00640E37">
        <w:rPr>
          <w:sz w:val="28"/>
        </w:rPr>
        <w:t>, от 09.03.2022 № </w:t>
      </w:r>
      <w:r w:rsidR="002F72C9">
        <w:rPr>
          <w:sz w:val="28"/>
        </w:rPr>
        <w:t>249, от 12.05.2022 № 513</w:t>
      </w:r>
      <w:r w:rsidR="00F45BD0">
        <w:rPr>
          <w:sz w:val="28"/>
        </w:rPr>
        <w:t xml:space="preserve">, </w:t>
      </w:r>
      <w:r w:rsidR="00B074BD">
        <w:rPr>
          <w:sz w:val="28"/>
        </w:rPr>
        <w:t>от </w:t>
      </w:r>
      <w:r w:rsidR="00F45BD0" w:rsidRPr="009C1B77">
        <w:rPr>
          <w:sz w:val="28"/>
        </w:rPr>
        <w:t>03.10.2022 № 1060</w:t>
      </w:r>
      <w:r w:rsidR="00D76F06" w:rsidRPr="009C1B77">
        <w:rPr>
          <w:sz w:val="28"/>
          <w:szCs w:val="28"/>
          <w:lang w:eastAsia="ru-RU"/>
        </w:rPr>
        <w:t>)</w:t>
      </w:r>
      <w:r w:rsidR="00FA3636">
        <w:rPr>
          <w:sz w:val="28"/>
          <w:szCs w:val="28"/>
          <w:lang w:eastAsia="ru-RU"/>
        </w:rPr>
        <w:t xml:space="preserve"> (далее – Схема)</w:t>
      </w:r>
      <w:r w:rsidR="00D76F06" w:rsidRPr="009C1B77">
        <w:rPr>
          <w:sz w:val="28"/>
          <w:szCs w:val="28"/>
          <w:lang w:eastAsia="ru-RU"/>
        </w:rPr>
        <w:t>,</w:t>
      </w:r>
      <w:r w:rsidR="00D76F06" w:rsidRPr="00D76F06">
        <w:rPr>
          <w:sz w:val="28"/>
          <w:szCs w:val="28"/>
          <w:lang w:eastAsia="ru-RU"/>
        </w:rPr>
        <w:t xml:space="preserve"> следующие изменения:</w:t>
      </w:r>
      <w:proofErr w:type="gramEnd"/>
    </w:p>
    <w:p w:rsidR="009058D3" w:rsidRDefault="009058D3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FA3636">
        <w:rPr>
          <w:sz w:val="28"/>
          <w:szCs w:val="28"/>
        </w:rPr>
        <w:t>В адресный перечень</w:t>
      </w:r>
      <w:r w:rsidRPr="00F303CD">
        <w:rPr>
          <w:sz w:val="28"/>
          <w:szCs w:val="28"/>
        </w:rPr>
        <w:t xml:space="preserve"> Схем</w:t>
      </w:r>
      <w:r w:rsidR="00FA3636">
        <w:rPr>
          <w:sz w:val="28"/>
          <w:szCs w:val="28"/>
        </w:rPr>
        <w:t xml:space="preserve">ы, часть 1 внести изменения согласно приложению </w:t>
      </w:r>
      <w:r w:rsidRPr="00F303CD">
        <w:rPr>
          <w:sz w:val="28"/>
          <w:szCs w:val="28"/>
        </w:rPr>
        <w:t xml:space="preserve"> </w:t>
      </w:r>
      <w:r w:rsidR="00DB574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настоящему постановлению;</w:t>
      </w:r>
    </w:p>
    <w:p w:rsidR="00DB5745" w:rsidRPr="003C047D" w:rsidRDefault="00DB5745" w:rsidP="00DB5745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1.2. </w:t>
      </w:r>
      <w:r w:rsidR="00FA3636">
        <w:rPr>
          <w:sz w:val="28"/>
          <w:szCs w:val="28"/>
        </w:rPr>
        <w:t>С</w:t>
      </w:r>
      <w:r>
        <w:rPr>
          <w:sz w:val="28"/>
          <w:szCs w:val="28"/>
        </w:rPr>
        <w:t xml:space="preserve">корректировать и дополнить </w:t>
      </w:r>
      <w:r w:rsidR="00FA3636">
        <w:rPr>
          <w:sz w:val="28"/>
          <w:szCs w:val="28"/>
        </w:rPr>
        <w:t xml:space="preserve"> </w:t>
      </w:r>
      <w:r w:rsidR="00FA3636" w:rsidRPr="00FA3636">
        <w:rPr>
          <w:sz w:val="28"/>
          <w:szCs w:val="28"/>
        </w:rPr>
        <w:t>графическую часть 1 Схемы в части позиции 101</w:t>
      </w:r>
      <w:r>
        <w:rPr>
          <w:sz w:val="28"/>
          <w:szCs w:val="28"/>
        </w:rPr>
        <w:t xml:space="preserve"> (приложение </w:t>
      </w:r>
      <w:r w:rsidR="00CF03D5">
        <w:rPr>
          <w:sz w:val="28"/>
          <w:szCs w:val="28"/>
        </w:rPr>
        <w:t>3 к настоящему постановлению</w:t>
      </w:r>
      <w:r>
        <w:rPr>
          <w:sz w:val="28"/>
          <w:szCs w:val="28"/>
        </w:rPr>
        <w:t>);</w:t>
      </w:r>
    </w:p>
    <w:p w:rsidR="00DB5745" w:rsidRDefault="00DB5745" w:rsidP="00DB5745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3. </w:t>
      </w:r>
      <w:r w:rsidR="00CF03D5" w:rsidRPr="00CF03D5">
        <w:rPr>
          <w:sz w:val="28"/>
          <w:szCs w:val="28"/>
        </w:rPr>
        <w:t>Адресный перечень Схемы, часть 2 изложить в редакции согласно приложению 2 к настоящему постановлению</w:t>
      </w:r>
      <w:r>
        <w:rPr>
          <w:sz w:val="28"/>
          <w:szCs w:val="28"/>
          <w:lang w:eastAsia="ru-RU"/>
        </w:rPr>
        <w:t>;</w:t>
      </w:r>
    </w:p>
    <w:p w:rsidR="00F40365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скорректировать Схему размещения нестационарных торговых объектов Чайковского городского округа (графическая часть 2) </w:t>
      </w:r>
      <w:r w:rsidR="00CF03D5">
        <w:rPr>
          <w:sz w:val="28"/>
          <w:szCs w:val="28"/>
        </w:rPr>
        <w:t>учетны</w:t>
      </w:r>
      <w:r w:rsidR="00842071">
        <w:rPr>
          <w:sz w:val="28"/>
          <w:szCs w:val="28"/>
        </w:rPr>
        <w:t>е</w:t>
      </w:r>
      <w:r w:rsidR="00CF03D5">
        <w:rPr>
          <w:sz w:val="28"/>
          <w:szCs w:val="28"/>
        </w:rPr>
        <w:t xml:space="preserve"> номер</w:t>
      </w:r>
      <w:r w:rsidR="00842071">
        <w:rPr>
          <w:sz w:val="28"/>
          <w:szCs w:val="28"/>
        </w:rPr>
        <w:t>а</w:t>
      </w:r>
      <w:r w:rsidR="00CF03D5">
        <w:rPr>
          <w:sz w:val="28"/>
          <w:szCs w:val="28"/>
        </w:rPr>
        <w:t xml:space="preserve"> НТО </w:t>
      </w:r>
      <w:r w:rsidRPr="00DC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03, 04, 06-08, </w:t>
      </w:r>
      <w:r w:rsidR="00FC7D5B">
        <w:rPr>
          <w:sz w:val="28"/>
          <w:szCs w:val="28"/>
        </w:rPr>
        <w:t>13, 15, 16, 18, 21, 28, 35, 36,</w:t>
      </w:r>
      <w:r>
        <w:rPr>
          <w:sz w:val="28"/>
          <w:szCs w:val="28"/>
        </w:rPr>
        <w:t xml:space="preserve"> 39-41, 43, 45, 47, 49, 53, 56, 58, 60</w:t>
      </w:r>
      <w:r w:rsidR="008E7E1E">
        <w:rPr>
          <w:sz w:val="28"/>
          <w:szCs w:val="28"/>
        </w:rPr>
        <w:t xml:space="preserve">, 65, 66, 71, 81 (приложение </w:t>
      </w:r>
      <w:r w:rsidR="00CF03D5">
        <w:rPr>
          <w:sz w:val="28"/>
          <w:szCs w:val="28"/>
        </w:rPr>
        <w:t>4 к настоящему постановлению</w:t>
      </w:r>
      <w:r w:rsidR="008E7E1E">
        <w:rPr>
          <w:sz w:val="28"/>
          <w:szCs w:val="28"/>
        </w:rPr>
        <w:t>).</w:t>
      </w:r>
    </w:p>
    <w:p w:rsidR="00F40365" w:rsidRPr="00A340E9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00">
        <w:rPr>
          <w:sz w:val="28"/>
          <w:szCs w:val="28"/>
        </w:rPr>
        <w:t xml:space="preserve">Управлению земельно-имущественных отношений администрации Чайковского городского округа направить копию постановления в течение 5 календарных дней в Министерство промышленности и торговли </w:t>
      </w:r>
      <w:r>
        <w:rPr>
          <w:sz w:val="28"/>
          <w:szCs w:val="28"/>
        </w:rPr>
        <w:t>Пермского края.</w:t>
      </w:r>
    </w:p>
    <w:p w:rsidR="00F40365" w:rsidRPr="00BF5A42" w:rsidRDefault="00F40365" w:rsidP="00F40365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F5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F5A42">
        <w:rPr>
          <w:rFonts w:ascii="Times New Roman" w:hAnsi="Times New Roman"/>
          <w:sz w:val="28"/>
          <w:szCs w:val="28"/>
          <w:lang w:eastAsia="ru-RU"/>
        </w:rPr>
        <w:t>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в газете «Огни Камы» и разместить на официальном сайте администрации Чайковского городского округа.</w:t>
      </w:r>
    </w:p>
    <w:p w:rsidR="00F40365" w:rsidRDefault="00F40365" w:rsidP="00F4036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Г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(приложение) </w:t>
      </w:r>
      <w:r>
        <w:rPr>
          <w:rFonts w:ascii="Times New Roman" w:hAnsi="Times New Roman"/>
          <w:sz w:val="28"/>
          <w:szCs w:val="28"/>
        </w:rPr>
        <w:t>разместить</w:t>
      </w:r>
      <w:r w:rsidRPr="00BF5A42">
        <w:rPr>
          <w:rFonts w:ascii="Times New Roman" w:hAnsi="Times New Roman"/>
          <w:sz w:val="28"/>
          <w:szCs w:val="28"/>
        </w:rPr>
        <w:t xml:space="preserve">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>руга (чайковскийрайон.рф</w:t>
      </w:r>
      <w:r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40365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40365" w:rsidRDefault="00F40365" w:rsidP="00F40365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F40365" w:rsidRDefault="00F40365" w:rsidP="00F40365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F40365" w:rsidRDefault="00F40365" w:rsidP="00F40365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0365" w:rsidRPr="007B1BBC" w:rsidRDefault="00F40365" w:rsidP="00F40365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F40365" w:rsidRDefault="00F40365" w:rsidP="00DB5745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</w:p>
    <w:p w:rsidR="00DB5745" w:rsidRDefault="00DB5745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  <w:sectPr w:rsidR="00D55430" w:rsidSect="006637B4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D55430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от </w:t>
      </w:r>
      <w:r w:rsidR="00BD14E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10DC1">
        <w:rPr>
          <w:rFonts w:ascii="Times New Roman" w:hAnsi="Times New Roman"/>
          <w:sz w:val="28"/>
          <w:szCs w:val="28"/>
        </w:rPr>
        <w:t>№</w:t>
      </w:r>
      <w:r w:rsidR="00BD14E9">
        <w:rPr>
          <w:rFonts w:ascii="Times New Roman" w:hAnsi="Times New Roman"/>
          <w:sz w:val="28"/>
          <w:szCs w:val="28"/>
        </w:rPr>
        <w:t xml:space="preserve">              </w:t>
      </w:r>
    </w:p>
    <w:p w:rsidR="00D55430" w:rsidRDefault="00D55430" w:rsidP="00D55430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A50D5A">
        <w:rPr>
          <w:rFonts w:ascii="Times New Roman" w:hAnsi="Times New Roman"/>
          <w:b/>
          <w:sz w:val="28"/>
          <w:szCs w:val="28"/>
        </w:rPr>
        <w:t xml:space="preserve">адресный перечень, части 1 </w:t>
      </w:r>
      <w:r w:rsidRPr="00842FF5">
        <w:rPr>
          <w:rFonts w:ascii="Times New Roman" w:hAnsi="Times New Roman"/>
          <w:b/>
          <w:sz w:val="28"/>
          <w:szCs w:val="28"/>
        </w:rPr>
        <w:t xml:space="preserve"> 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Схем</w:t>
      </w:r>
      <w:r w:rsidR="00A50D5A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 (в редакции постановлений администрации Чайковского городского округа от 01.06.2020 № 525, от 30.11.2020 № 1157, 27.01.2021 №72, от 12.03.2021 № 213, </w:t>
      </w:r>
      <w:r w:rsidRPr="00A748A7">
        <w:rPr>
          <w:rFonts w:ascii="Times New Roman" w:hAnsi="Times New Roman"/>
          <w:b/>
          <w:sz w:val="28"/>
        </w:rPr>
        <w:t>от 09.06.2021 № 558, от 09.03.2022 № 249, от 12.05.2022 № 513, от 03.10.2022 № 1060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),</w:t>
      </w:r>
      <w:proofErr w:type="gramEnd"/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Pr="00F303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370713">
        <w:rPr>
          <w:sz w:val="28"/>
          <w:szCs w:val="28"/>
        </w:rPr>
        <w:t>учетные номера НТО</w:t>
      </w:r>
      <w:r w:rsidRPr="00F303CD">
        <w:rPr>
          <w:sz w:val="28"/>
          <w:szCs w:val="28"/>
        </w:rPr>
        <w:t>:</w:t>
      </w:r>
    </w:p>
    <w:tbl>
      <w:tblPr>
        <w:tblStyle w:val="11"/>
        <w:tblW w:w="15877" w:type="dxa"/>
        <w:jc w:val="center"/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trHeight w:val="793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Style w:val="11"/>
        <w:tblW w:w="15877" w:type="dxa"/>
        <w:jc w:val="center"/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trHeight w:val="793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ул. Сосновая, территория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бывшего микрорынка 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</w:t>
      </w:r>
      <w:r w:rsidR="00370713" w:rsidRPr="00370713">
        <w:rPr>
          <w:sz w:val="28"/>
          <w:szCs w:val="28"/>
        </w:rPr>
        <w:t>четные номера НТО</w:t>
      </w:r>
      <w:r w:rsidRPr="00F303CD">
        <w:rPr>
          <w:sz w:val="28"/>
          <w:szCs w:val="28"/>
        </w:rPr>
        <w:t>:</w:t>
      </w:r>
    </w:p>
    <w:tbl>
      <w:tblPr>
        <w:tblStyle w:val="11"/>
        <w:tblW w:w="15877" w:type="dxa"/>
        <w:jc w:val="center"/>
        <w:tblLayout w:type="fixed"/>
        <w:tblLook w:val="04A0"/>
      </w:tblPr>
      <w:tblGrid>
        <w:gridCol w:w="1135"/>
        <w:gridCol w:w="1979"/>
        <w:gridCol w:w="1281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066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питание и продукция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Style w:val="11"/>
        <w:tblW w:w="15877" w:type="dxa"/>
        <w:jc w:val="center"/>
        <w:tblLayout w:type="fixed"/>
        <w:tblLook w:val="04A0"/>
      </w:tblPr>
      <w:tblGrid>
        <w:gridCol w:w="1135"/>
        <w:gridCol w:w="1979"/>
        <w:gridCol w:w="1281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065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учетный номер НТО</w:t>
      </w:r>
      <w:r w:rsidRPr="00F303CD">
        <w:rPr>
          <w:sz w:val="28"/>
          <w:szCs w:val="28"/>
        </w:rPr>
        <w:t>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03CD">
        <w:rPr>
          <w:sz w:val="28"/>
          <w:szCs w:val="28"/>
        </w:rPr>
        <w:t>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учетные номера НТО</w:t>
      </w:r>
      <w:r w:rsidRPr="00F303CD">
        <w:rPr>
          <w:sz w:val="28"/>
          <w:szCs w:val="28"/>
        </w:rPr>
        <w:t>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03CD">
        <w:rPr>
          <w:sz w:val="28"/>
          <w:szCs w:val="28"/>
        </w:rPr>
        <w:t>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59:12:0010326:297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B074BD" w:rsidRDefault="00B07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D55430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от </w:t>
      </w:r>
      <w:r w:rsidR="00BD14E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10DC1">
        <w:rPr>
          <w:rFonts w:ascii="Times New Roman" w:hAnsi="Times New Roman"/>
          <w:sz w:val="28"/>
          <w:szCs w:val="28"/>
        </w:rPr>
        <w:t>№</w:t>
      </w:r>
      <w:r w:rsidR="00BD14E9">
        <w:rPr>
          <w:rFonts w:ascii="Times New Roman" w:hAnsi="Times New Roman"/>
          <w:sz w:val="28"/>
          <w:szCs w:val="28"/>
        </w:rPr>
        <w:t xml:space="preserve">              </w:t>
      </w:r>
    </w:p>
    <w:p w:rsidR="00D55430" w:rsidRDefault="00D55430" w:rsidP="00D55430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A50D5A">
        <w:rPr>
          <w:rFonts w:ascii="Times New Roman" w:hAnsi="Times New Roman"/>
          <w:b/>
          <w:sz w:val="28"/>
          <w:szCs w:val="28"/>
        </w:rPr>
        <w:t xml:space="preserve">адресный перечень,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842FF5">
        <w:rPr>
          <w:rFonts w:ascii="Times New Roman" w:hAnsi="Times New Roman"/>
          <w:b/>
          <w:sz w:val="28"/>
          <w:szCs w:val="28"/>
        </w:rPr>
        <w:t xml:space="preserve"> 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Схем</w:t>
      </w:r>
      <w:r w:rsidR="00A50D5A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 (в редакции постановлений администрации Чайковского городского округа от 01.06.2020 № 525, от 30.11.2020 № 1157, 27.01.2021 №72, от 12.03.2021 № 213, </w:t>
      </w:r>
      <w:r w:rsidRPr="00A748A7">
        <w:rPr>
          <w:rFonts w:ascii="Times New Roman" w:hAnsi="Times New Roman"/>
          <w:b/>
          <w:sz w:val="28"/>
        </w:rPr>
        <w:t>от 09.06.2021 № 558, от 09</w:t>
      </w:r>
      <w:r w:rsidR="00B074BD">
        <w:rPr>
          <w:rFonts w:ascii="Times New Roman" w:hAnsi="Times New Roman"/>
          <w:b/>
          <w:sz w:val="28"/>
        </w:rPr>
        <w:t>.03.2022 № 249, от 12.05.2022 № </w:t>
      </w:r>
      <w:r w:rsidRPr="00A748A7">
        <w:rPr>
          <w:rFonts w:ascii="Times New Roman" w:hAnsi="Times New Roman"/>
          <w:b/>
          <w:sz w:val="28"/>
        </w:rPr>
        <w:t>513, от 03.10.2022 № 1060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D55430" w:rsidRPr="008C647D" w:rsidRDefault="00D55430" w:rsidP="00D55430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pPr w:leftFromText="180" w:rightFromText="180" w:vertAnchor="text" w:tblpX="-714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1559"/>
        <w:gridCol w:w="1701"/>
        <w:gridCol w:w="1134"/>
        <w:gridCol w:w="1843"/>
        <w:gridCol w:w="2126"/>
        <w:gridCol w:w="1985"/>
        <w:gridCol w:w="1134"/>
        <w:gridCol w:w="1559"/>
      </w:tblGrid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Учетный номер </w:t>
            </w:r>
            <w:proofErr w:type="gramStart"/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нестацио-нарного</w:t>
            </w:r>
            <w:proofErr w:type="gramEnd"/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Специализация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Площадь нестационарного торгового объекта,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Собственник земельного участка, здания, строения, сооружения, на (в) котором расположен нестационарный торговый объект, на котором расположен нестационарный торговый объект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Перекресток улиц Советская-Камская, 3-я линия (с северо-восточной стороны ГАИ)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59:12:0010245:35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26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82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59:12:0010237:29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69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Азина, 3/1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53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7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 xml:space="preserve">Сезонное </w:t>
            </w:r>
            <w:r w:rsidRPr="008C647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летнее</w:t>
            </w:r>
            <w:r w:rsidRPr="008C647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430" w:rsidRPr="00EE76BC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4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583538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74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644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0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6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  <w:trHeight w:val="116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39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9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C7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площадь Ка</w:t>
            </w:r>
            <w:bookmarkStart w:id="0" w:name="_GoBack"/>
            <w:bookmarkEnd w:id="0"/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FC7D5B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а Маркса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59:12:0010330:312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C7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площадь Ка</w:t>
            </w:r>
            <w:r w:rsidR="00FC7D5B">
              <w:rPr>
                <w:rFonts w:ascii="Times New Roman" w:eastAsiaTheme="minorHAnsi" w:hAnsi="Times New Roman"/>
                <w:sz w:val="20"/>
                <w:szCs w:val="20"/>
              </w:rPr>
              <w:t>рл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а Маркса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59:12:0010330:312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40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9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д. 41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59:12:0010332:5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1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59:12:0010315:1189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7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Ленина, 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Аллея Славы, 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напротив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клумбы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59:12:0010319:43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06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Ленина,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55430" w:rsidRPr="00273E7B" w:rsidRDefault="00D55430" w:rsidP="00FA3636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Аллея Славы, 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напротив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клумбы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59:12:0010319:43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49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59:12:0010339:973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188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59:12:0010339:973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59:12:0010345:196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59:12:0010345:196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Между Автостоянкой и Сиреневый бульвар, д. 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8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59:12:0010746:266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59:12:0010746:266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Советская, 12/1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D55430" w:rsidRPr="00EE3FCF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5/3а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Вокзальная,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Площадка между ГК «Импульс» и АК №5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Вокзальная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Дружбы, рядом со зданием магазина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Ул. Советская, 2/6, напротив АЗС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8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3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44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«Изумруд», рядом с детской площадкой)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79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«Изумруд», рядом с детской площадкой)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(рядом с Амфитеатром)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(рядом с Амфитеатром)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26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00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9716E9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55430" w:rsidRPr="00F303CD" w:rsidRDefault="00D55430" w:rsidP="00D55430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textWrapping" w:clear="all"/>
      </w:r>
    </w:p>
    <w:p w:rsidR="00D55430" w:rsidRDefault="00D55430" w:rsidP="00D554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D55430" w:rsidSect="00FA3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D9" w:rsidRDefault="002A44D9" w:rsidP="00CE4502">
      <w:pPr>
        <w:spacing w:after="0" w:line="240" w:lineRule="auto"/>
      </w:pPr>
      <w:r>
        <w:separator/>
      </w:r>
    </w:p>
  </w:endnote>
  <w:endnote w:type="continuationSeparator" w:id="0">
    <w:p w:rsidR="002A44D9" w:rsidRDefault="002A44D9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36" w:rsidRDefault="00FA3636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D9" w:rsidRDefault="002A44D9" w:rsidP="00CE4502">
      <w:pPr>
        <w:spacing w:after="0" w:line="240" w:lineRule="auto"/>
      </w:pPr>
      <w:r>
        <w:separator/>
      </w:r>
    </w:p>
  </w:footnote>
  <w:footnote w:type="continuationSeparator" w:id="0">
    <w:p w:rsidR="002A44D9" w:rsidRDefault="002A44D9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36" w:rsidRDefault="00B81F8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36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636" w:rsidRDefault="00FA36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B" w:rsidRPr="00694B1B" w:rsidRDefault="00694B1B" w:rsidP="00694B1B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94B1B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24.03.2023 Срок  приема заключений независимых экспертов до 2.04.2023 на электронный адрес ud-mnpa@chaykovsky.permkrai.ru</w:t>
    </w:r>
  </w:p>
  <w:p w:rsidR="00694B1B" w:rsidRDefault="00694B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6D"/>
    <w:multiLevelType w:val="hybridMultilevel"/>
    <w:tmpl w:val="6A9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42D15"/>
    <w:rsid w:val="0008017E"/>
    <w:rsid w:val="00090035"/>
    <w:rsid w:val="000B01D2"/>
    <w:rsid w:val="000D377C"/>
    <w:rsid w:val="000F5E35"/>
    <w:rsid w:val="00120971"/>
    <w:rsid w:val="00122F92"/>
    <w:rsid w:val="00146597"/>
    <w:rsid w:val="00164119"/>
    <w:rsid w:val="00164FED"/>
    <w:rsid w:val="001D6C0F"/>
    <w:rsid w:val="00207EE7"/>
    <w:rsid w:val="002213F2"/>
    <w:rsid w:val="002251C3"/>
    <w:rsid w:val="00257233"/>
    <w:rsid w:val="00265A1C"/>
    <w:rsid w:val="002723FE"/>
    <w:rsid w:val="00273E7B"/>
    <w:rsid w:val="002A44D9"/>
    <w:rsid w:val="002B1333"/>
    <w:rsid w:val="002D5C61"/>
    <w:rsid w:val="002E7D81"/>
    <w:rsid w:val="002F72C9"/>
    <w:rsid w:val="003051E5"/>
    <w:rsid w:val="00312577"/>
    <w:rsid w:val="00322D39"/>
    <w:rsid w:val="0032440D"/>
    <w:rsid w:val="00335190"/>
    <w:rsid w:val="003400E7"/>
    <w:rsid w:val="0034719C"/>
    <w:rsid w:val="00357BFB"/>
    <w:rsid w:val="003624C9"/>
    <w:rsid w:val="00370713"/>
    <w:rsid w:val="00377100"/>
    <w:rsid w:val="00390259"/>
    <w:rsid w:val="003A5088"/>
    <w:rsid w:val="003C047D"/>
    <w:rsid w:val="003D0E53"/>
    <w:rsid w:val="003F6910"/>
    <w:rsid w:val="00415965"/>
    <w:rsid w:val="004341C9"/>
    <w:rsid w:val="00456214"/>
    <w:rsid w:val="004565A4"/>
    <w:rsid w:val="0049028E"/>
    <w:rsid w:val="00490981"/>
    <w:rsid w:val="0049355E"/>
    <w:rsid w:val="004A6E97"/>
    <w:rsid w:val="004B5F67"/>
    <w:rsid w:val="004F0E82"/>
    <w:rsid w:val="00503122"/>
    <w:rsid w:val="0054471A"/>
    <w:rsid w:val="0055629A"/>
    <w:rsid w:val="005648B7"/>
    <w:rsid w:val="005660CB"/>
    <w:rsid w:val="00574AC3"/>
    <w:rsid w:val="00583538"/>
    <w:rsid w:val="00584C7B"/>
    <w:rsid w:val="00592A09"/>
    <w:rsid w:val="005A1712"/>
    <w:rsid w:val="005D1DAB"/>
    <w:rsid w:val="005E1761"/>
    <w:rsid w:val="005F4720"/>
    <w:rsid w:val="005F75C3"/>
    <w:rsid w:val="00607595"/>
    <w:rsid w:val="00607799"/>
    <w:rsid w:val="00612F8B"/>
    <w:rsid w:val="00615A07"/>
    <w:rsid w:val="00640E37"/>
    <w:rsid w:val="006637B4"/>
    <w:rsid w:val="00667227"/>
    <w:rsid w:val="00670DA3"/>
    <w:rsid w:val="006774B3"/>
    <w:rsid w:val="00683724"/>
    <w:rsid w:val="0068587E"/>
    <w:rsid w:val="00693159"/>
    <w:rsid w:val="00694B1B"/>
    <w:rsid w:val="006A57D5"/>
    <w:rsid w:val="006C34FF"/>
    <w:rsid w:val="006D5B34"/>
    <w:rsid w:val="00710E61"/>
    <w:rsid w:val="00727A92"/>
    <w:rsid w:val="0074677E"/>
    <w:rsid w:val="007475DD"/>
    <w:rsid w:val="007638F8"/>
    <w:rsid w:val="007673DE"/>
    <w:rsid w:val="0078124E"/>
    <w:rsid w:val="007A0A87"/>
    <w:rsid w:val="007B1BBC"/>
    <w:rsid w:val="007C0DE8"/>
    <w:rsid w:val="007E34FC"/>
    <w:rsid w:val="007E4D5D"/>
    <w:rsid w:val="00842071"/>
    <w:rsid w:val="00844F01"/>
    <w:rsid w:val="00846C35"/>
    <w:rsid w:val="00850303"/>
    <w:rsid w:val="00853A1B"/>
    <w:rsid w:val="00860076"/>
    <w:rsid w:val="008710CE"/>
    <w:rsid w:val="008B0BA8"/>
    <w:rsid w:val="008C647D"/>
    <w:rsid w:val="008E7E1E"/>
    <w:rsid w:val="008F0896"/>
    <w:rsid w:val="009058D3"/>
    <w:rsid w:val="009245C8"/>
    <w:rsid w:val="00926146"/>
    <w:rsid w:val="009368FF"/>
    <w:rsid w:val="009401D5"/>
    <w:rsid w:val="00940276"/>
    <w:rsid w:val="00943FE9"/>
    <w:rsid w:val="00944F42"/>
    <w:rsid w:val="0096466A"/>
    <w:rsid w:val="00970AE4"/>
    <w:rsid w:val="009716E9"/>
    <w:rsid w:val="00972609"/>
    <w:rsid w:val="009948BD"/>
    <w:rsid w:val="009C1B77"/>
    <w:rsid w:val="009C3E60"/>
    <w:rsid w:val="009C7A1A"/>
    <w:rsid w:val="009E41CF"/>
    <w:rsid w:val="009F2A05"/>
    <w:rsid w:val="00A012E4"/>
    <w:rsid w:val="00A025F4"/>
    <w:rsid w:val="00A06BD8"/>
    <w:rsid w:val="00A340E9"/>
    <w:rsid w:val="00A50D5A"/>
    <w:rsid w:val="00AB4A17"/>
    <w:rsid w:val="00AB72ED"/>
    <w:rsid w:val="00AD0987"/>
    <w:rsid w:val="00AF13D2"/>
    <w:rsid w:val="00B038F3"/>
    <w:rsid w:val="00B074BD"/>
    <w:rsid w:val="00B12C00"/>
    <w:rsid w:val="00B15EAF"/>
    <w:rsid w:val="00B27042"/>
    <w:rsid w:val="00B7666D"/>
    <w:rsid w:val="00B81F80"/>
    <w:rsid w:val="00BB5A4E"/>
    <w:rsid w:val="00BD14E9"/>
    <w:rsid w:val="00BD6511"/>
    <w:rsid w:val="00BF52E1"/>
    <w:rsid w:val="00BF5A42"/>
    <w:rsid w:val="00C10D63"/>
    <w:rsid w:val="00C56610"/>
    <w:rsid w:val="00C66F98"/>
    <w:rsid w:val="00C74108"/>
    <w:rsid w:val="00C821BC"/>
    <w:rsid w:val="00C87EDC"/>
    <w:rsid w:val="00C922CB"/>
    <w:rsid w:val="00CB7EAA"/>
    <w:rsid w:val="00CE1BF4"/>
    <w:rsid w:val="00CE4502"/>
    <w:rsid w:val="00CF03D5"/>
    <w:rsid w:val="00CF0C90"/>
    <w:rsid w:val="00D207CF"/>
    <w:rsid w:val="00D3126F"/>
    <w:rsid w:val="00D43689"/>
    <w:rsid w:val="00D55430"/>
    <w:rsid w:val="00D702C0"/>
    <w:rsid w:val="00D74ABF"/>
    <w:rsid w:val="00D76F06"/>
    <w:rsid w:val="00D821E2"/>
    <w:rsid w:val="00D83ED1"/>
    <w:rsid w:val="00DA688D"/>
    <w:rsid w:val="00DB5745"/>
    <w:rsid w:val="00DC4446"/>
    <w:rsid w:val="00DC5C45"/>
    <w:rsid w:val="00DC723E"/>
    <w:rsid w:val="00DE192D"/>
    <w:rsid w:val="00DE44D1"/>
    <w:rsid w:val="00E40B3C"/>
    <w:rsid w:val="00E428D4"/>
    <w:rsid w:val="00E50317"/>
    <w:rsid w:val="00E6325D"/>
    <w:rsid w:val="00E87B71"/>
    <w:rsid w:val="00EB272D"/>
    <w:rsid w:val="00EB38E2"/>
    <w:rsid w:val="00EC3BED"/>
    <w:rsid w:val="00ED3F9F"/>
    <w:rsid w:val="00ED516C"/>
    <w:rsid w:val="00EE3FCF"/>
    <w:rsid w:val="00EE76BC"/>
    <w:rsid w:val="00F10E9D"/>
    <w:rsid w:val="00F16BBC"/>
    <w:rsid w:val="00F303CD"/>
    <w:rsid w:val="00F40365"/>
    <w:rsid w:val="00F45BD0"/>
    <w:rsid w:val="00F80D11"/>
    <w:rsid w:val="00FA3636"/>
    <w:rsid w:val="00FB1D7E"/>
    <w:rsid w:val="00FB2A7D"/>
    <w:rsid w:val="00FB5EE3"/>
    <w:rsid w:val="00FB7F5E"/>
    <w:rsid w:val="00FC4840"/>
    <w:rsid w:val="00FC7D5B"/>
    <w:rsid w:val="00FD5BED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647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647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647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71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647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C647D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8C647D"/>
    <w:rPr>
      <w:rFonts w:ascii="Times New Roman" w:eastAsia="Times New Roman" w:hAnsi="Times New Roman"/>
      <w:sz w:val="24"/>
    </w:rPr>
  </w:style>
  <w:style w:type="paragraph" w:customStyle="1" w:styleId="12">
    <w:name w:val="Стиль1"/>
    <w:basedOn w:val="ae"/>
    <w:rsid w:val="008C647D"/>
    <w:pPr>
      <w:jc w:val="both"/>
    </w:pPr>
    <w:rPr>
      <w:sz w:val="28"/>
      <w:szCs w:val="28"/>
    </w:rPr>
  </w:style>
  <w:style w:type="paragraph" w:styleId="ae">
    <w:name w:val="Date"/>
    <w:basedOn w:val="a"/>
    <w:next w:val="a"/>
    <w:link w:val="af"/>
    <w:rsid w:val="008C647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8C647D"/>
    <w:rPr>
      <w:rFonts w:ascii="Times New Roman" w:eastAsia="Times New Roman" w:hAnsi="Times New Roman"/>
    </w:rPr>
  </w:style>
  <w:style w:type="paragraph" w:customStyle="1" w:styleId="13">
    <w:name w:val="Дата 1"/>
    <w:basedOn w:val="ae"/>
    <w:rsid w:val="008C647D"/>
    <w:pPr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8C647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C647D"/>
    <w:rPr>
      <w:rFonts w:ascii="Times New Roman" w:eastAsia="Times New Roman" w:hAnsi="Times New Roman"/>
      <w:sz w:val="28"/>
    </w:rPr>
  </w:style>
  <w:style w:type="paragraph" w:customStyle="1" w:styleId="af2">
    <w:name w:val="регистрационные поля"/>
    <w:basedOn w:val="a"/>
    <w:rsid w:val="008C647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numbering" w:customStyle="1" w:styleId="14">
    <w:name w:val="Нет списка1"/>
    <w:next w:val="a2"/>
    <w:uiPriority w:val="99"/>
    <w:semiHidden/>
    <w:unhideWhenUsed/>
    <w:rsid w:val="008C647D"/>
  </w:style>
  <w:style w:type="paragraph" w:customStyle="1" w:styleId="ConsPlusNormal">
    <w:name w:val="ConsPlusNormal"/>
    <w:rsid w:val="008C647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annotation reference"/>
    <w:basedOn w:val="a0"/>
    <w:uiPriority w:val="99"/>
    <w:semiHidden/>
    <w:unhideWhenUsed/>
    <w:rsid w:val="008C64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647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647D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64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647D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110">
    <w:name w:val="Нет списка11"/>
    <w:next w:val="a2"/>
    <w:semiHidden/>
    <w:unhideWhenUsed/>
    <w:rsid w:val="008C647D"/>
  </w:style>
  <w:style w:type="paragraph" w:customStyle="1" w:styleId="af8">
    <w:name w:val="Заголовок к тексту"/>
    <w:basedOn w:val="a"/>
    <w:next w:val="a7"/>
    <w:qFormat/>
    <w:rsid w:val="008C647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Адресат"/>
    <w:basedOn w:val="a"/>
    <w:rsid w:val="008C647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Исполнитель"/>
    <w:basedOn w:val="a7"/>
    <w:rsid w:val="008C647D"/>
    <w:pPr>
      <w:suppressAutoHyphens/>
      <w:spacing w:line="240" w:lineRule="exact"/>
    </w:pPr>
    <w:rPr>
      <w:szCs w:val="20"/>
    </w:rPr>
  </w:style>
  <w:style w:type="paragraph" w:styleId="afb">
    <w:name w:val="No Spacing"/>
    <w:uiPriority w:val="1"/>
    <w:qFormat/>
    <w:rsid w:val="008C647D"/>
    <w:rPr>
      <w:rFonts w:ascii="Times New Roman" w:eastAsia="Times New Roman" w:hAnsi="Times New Roman"/>
      <w:sz w:val="28"/>
    </w:rPr>
  </w:style>
  <w:style w:type="paragraph" w:customStyle="1" w:styleId="afc">
    <w:name w:val="Регистр"/>
    <w:rsid w:val="008C647D"/>
    <w:rPr>
      <w:rFonts w:ascii="Times New Roman" w:eastAsia="Times New Roman" w:hAnsi="Times New Roman"/>
      <w:sz w:val="28"/>
    </w:rPr>
  </w:style>
  <w:style w:type="table" w:customStyle="1" w:styleId="2">
    <w:name w:val="Сетка таблицы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647D"/>
  </w:style>
  <w:style w:type="table" w:customStyle="1" w:styleId="7">
    <w:name w:val="Сетка таблицы7"/>
    <w:basedOn w:val="a1"/>
    <w:next w:val="ac"/>
    <w:uiPriority w:val="59"/>
    <w:rsid w:val="008C64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8C647D"/>
  </w:style>
  <w:style w:type="table" w:customStyle="1" w:styleId="111">
    <w:name w:val="Сетка таблицы1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C647D"/>
  </w:style>
  <w:style w:type="table" w:customStyle="1" w:styleId="8">
    <w:name w:val="Сетка таблицы8"/>
    <w:basedOn w:val="a1"/>
    <w:next w:val="ac"/>
    <w:uiPriority w:val="59"/>
    <w:rsid w:val="008C64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8C647D"/>
  </w:style>
  <w:style w:type="table" w:customStyle="1" w:styleId="121">
    <w:name w:val="Сетка таблицы1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DD24-4ED3-4F9D-AF3F-C7C393B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20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2023-01-30T06:05:00Z</cp:lastPrinted>
  <dcterms:created xsi:type="dcterms:W3CDTF">2023-03-28T06:47:00Z</dcterms:created>
  <dcterms:modified xsi:type="dcterms:W3CDTF">2023-03-28T06:47:00Z</dcterms:modified>
</cp:coreProperties>
</file>