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drawing>
          <wp:inline>
            <wp:extent cx="5934075" cy="23907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38735</wp:posOffset>
                </wp:positionH>
                <wp:positionV relativeFrom="page">
                  <wp:posOffset>3438524</wp:posOffset>
                </wp:positionV>
                <wp:extent cx="2474595" cy="155130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47459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внесении изменений в Положение о системе оплаты труда и стимулировании работников муниципального автономного учреждения «Автовокзал», утвержденное постановлением администрации Чайковского городского округа 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15.12.2023 № 1191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134, 135, 144, 145 Трудового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6 октября 2003 г. № 131- 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Чайковского городского округа, решением </w:t>
      </w:r>
      <w:r>
        <w:rPr>
          <w:rFonts w:ascii="Times New Roman" w:hAnsi="Times New Roman"/>
          <w:sz w:val="28"/>
        </w:rPr>
        <w:t xml:space="preserve">Чайковской городской </w:t>
      </w:r>
      <w:r>
        <w:rPr>
          <w:rFonts w:ascii="Times New Roman" w:hAnsi="Times New Roman"/>
          <w:sz w:val="28"/>
        </w:rPr>
        <w:t>Думы от 19 декабря 2018 г. № 96 «Об оплате труда работников муниципальных учреждений Чайковского городского округа»,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администрации города Чайковского от 11 февраля 2019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153 «Об оплате труда рабочих муниципальных учреждений Чайковского городского округа», в целях </w:t>
      </w:r>
      <w:r>
        <w:rPr>
          <w:rFonts w:ascii="Times New Roman" w:hAnsi="Times New Roman"/>
          <w:sz w:val="28"/>
        </w:rPr>
        <w:t>регулирования оплаты труда в муниципальном автономном учреждении «Автовокзал»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4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Положение </w:t>
      </w:r>
      <w:r>
        <w:rPr>
          <w:rFonts w:ascii="Times New Roman" w:hAnsi="Times New Roman"/>
          <w:sz w:val="28"/>
        </w:rPr>
        <w:t>о системе оплаты труда и стимулировании работников муниципального автономного учреждения «Автовокзал»</w:t>
      </w:r>
      <w:r>
        <w:rPr>
          <w:rFonts w:ascii="Times New Roman" w:hAnsi="Times New Roman"/>
          <w:sz w:val="28"/>
        </w:rPr>
        <w:t>, утвержденное постановлением администрации Чайковского городского округа от 15 декабря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1191</w:t>
      </w:r>
      <w:r>
        <w:rPr>
          <w:rFonts w:ascii="Times New Roman" w:hAnsi="Times New Roman"/>
          <w:sz w:val="28"/>
        </w:rPr>
        <w:t>(в редакции от 02.05.2024 № 402</w:t>
      </w:r>
      <w:r>
        <w:rPr>
          <w:rFonts w:ascii="Times New Roman" w:hAnsi="Times New Roman"/>
          <w:sz w:val="28"/>
        </w:rPr>
        <w:t>, от 21.11.2024 № 1024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(далее – Положение), </w:t>
      </w:r>
      <w:r>
        <w:rPr>
          <w:rFonts w:ascii="Times New Roman" w:hAnsi="Times New Roman"/>
          <w:sz w:val="28"/>
        </w:rPr>
        <w:t>следующие изменения:</w:t>
      </w:r>
    </w:p>
    <w:p w14:paraId="13000000">
      <w:pPr>
        <w:pStyle w:val="Style_4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Положению</w:t>
      </w:r>
      <w:r>
        <w:rPr>
          <w:rFonts w:ascii="Times New Roman" w:hAnsi="Times New Roman"/>
          <w:sz w:val="28"/>
        </w:rPr>
        <w:t xml:space="preserve"> «Схема должностных окладов работников муниципального автономн</w:t>
      </w:r>
      <w:r>
        <w:rPr>
          <w:rFonts w:ascii="Times New Roman" w:hAnsi="Times New Roman"/>
          <w:sz w:val="28"/>
        </w:rPr>
        <w:t>ого учреждения «Автовокзал»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должностям служащих, включенным в профессиональные квалификационные группы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строкой 2.4 следующе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z w:val="28"/>
        </w:rPr>
        <w:t>:</w:t>
      </w:r>
    </w:p>
    <w:p w14:paraId="14000000">
      <w:pPr>
        <w:tabs>
          <w:tab w:leader="none" w:pos="1134" w:val="left"/>
        </w:tabs>
        <w:spacing w:after="0" w:line="240" w:lineRule="auto"/>
        <w:ind w:right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 w:right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 w:right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 w:right="1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5"/>
        <w:tblLayout w:type="fixed"/>
      </w:tblPr>
      <w:tblGrid>
        <w:gridCol w:w="1030"/>
        <w:gridCol w:w="3625"/>
        <w:gridCol w:w="2596"/>
        <w:gridCol w:w="2101"/>
      </w:tblGrid>
      <w:tr>
        <w:tc>
          <w:tcPr>
            <w:tcW w:type="dxa" w:w="1030"/>
          </w:tcPr>
          <w:p w14:paraId="18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625"/>
          </w:tcPr>
          <w:p w14:paraId="19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Квалификационные уровни</w:t>
            </w:r>
          </w:p>
        </w:tc>
        <w:tc>
          <w:tcPr>
            <w:tcW w:type="dxa" w:w="2596"/>
          </w:tcPr>
          <w:p w14:paraId="1A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Профессии, отнесенные к квалификационным уровням</w:t>
            </w:r>
          </w:p>
        </w:tc>
        <w:tc>
          <w:tcPr>
            <w:tcW w:type="dxa" w:w="2101"/>
          </w:tcPr>
          <w:p w14:paraId="1B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Должностные оклады (руб.)</w:t>
            </w:r>
          </w:p>
        </w:tc>
      </w:tr>
      <w:tr>
        <w:tc>
          <w:tcPr>
            <w:tcW w:type="dxa" w:w="1030"/>
          </w:tcPr>
          <w:p w14:paraId="1C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3625"/>
          </w:tcPr>
          <w:p w14:paraId="1D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4-й квалификационный уровень</w:t>
            </w:r>
          </w:p>
        </w:tc>
        <w:tc>
          <w:tcPr>
            <w:tcW w:type="dxa" w:w="2596"/>
          </w:tcPr>
          <w:p w14:paraId="1E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Механик</w:t>
            </w:r>
          </w:p>
        </w:tc>
        <w:tc>
          <w:tcPr>
            <w:tcW w:type="dxa" w:w="2101"/>
          </w:tcPr>
          <w:p w14:paraId="1F000000">
            <w:pPr>
              <w:pStyle w:val="Style_4"/>
              <w:tabs>
                <w:tab w:leader="none" w:pos="1134" w:val="left"/>
              </w:tabs>
              <w:spacing w:after="0" w:line="240" w:lineRule="auto"/>
              <w:ind w:firstLine="0" w:left="0" w:righ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16 252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</w:tbl>
    <w:p w14:paraId="20000000">
      <w:pPr>
        <w:pStyle w:val="Style_4"/>
        <w:tabs>
          <w:tab w:leader="none" w:pos="1134" w:val="left"/>
        </w:tabs>
        <w:spacing w:after="0" w:line="240" w:lineRule="auto"/>
        <w:ind w:firstLine="0" w:left="709" w:right="1"/>
        <w:jc w:val="both"/>
        <w:rPr>
          <w:rFonts w:ascii="Times New Roman" w:hAnsi="Times New Roman"/>
          <w:sz w:val="28"/>
        </w:rPr>
      </w:pPr>
    </w:p>
    <w:p w14:paraId="21000000">
      <w:pPr>
        <w:pStyle w:val="Style_4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к Положению </w:t>
      </w:r>
      <w:r>
        <w:rPr>
          <w:rFonts w:ascii="Times New Roman" w:hAnsi="Times New Roman"/>
          <w:sz w:val="28"/>
        </w:rPr>
        <w:t xml:space="preserve">«Условия и порядок установления надбавки за особые условия работы» </w:t>
      </w:r>
      <w:r>
        <w:rPr>
          <w:rFonts w:ascii="Times New Roman" w:hAnsi="Times New Roman"/>
          <w:sz w:val="28"/>
        </w:rPr>
        <w:t>дополнить строкой 26 следующе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z w:val="28"/>
        </w:rPr>
        <w:t>:</w:t>
      </w:r>
    </w:p>
    <w:tbl>
      <w:tblPr>
        <w:tblStyle w:val="Style_5"/>
        <w:tblW w:type="auto" w:w="0"/>
        <w:tblInd w:type="dxa" w:w="-5"/>
        <w:tblLayout w:type="fixed"/>
      </w:tblPr>
      <w:tblGrid>
        <w:gridCol w:w="1701"/>
        <w:gridCol w:w="5245"/>
        <w:gridCol w:w="2406"/>
      </w:tblGrid>
      <w:tr>
        <w:tc>
          <w:tcPr>
            <w:tcW w:type="dxa" w:w="1701"/>
            <w:vAlign w:val="center"/>
          </w:tcPr>
          <w:p w14:paraId="22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type="dxa" w:w="5245"/>
            <w:vAlign w:val="center"/>
          </w:tcPr>
          <w:p w14:paraId="23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 эффективности</w:t>
            </w:r>
          </w:p>
        </w:tc>
        <w:tc>
          <w:tcPr>
            <w:tcW w:type="dxa" w:w="2406"/>
          </w:tcPr>
          <w:p w14:paraId="24000000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ежемесячной надбавки,</w:t>
            </w:r>
          </w:p>
          <w:p w14:paraId="25000000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должностного оклада (тарифной ставки)</w:t>
            </w:r>
          </w:p>
          <w:p w14:paraId="26000000">
            <w:pPr>
              <w:pStyle w:val="Style_4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замещаемой должности</w:t>
            </w:r>
          </w:p>
        </w:tc>
      </w:tr>
      <w:tr>
        <w:tc>
          <w:tcPr>
            <w:tcW w:type="dxa" w:w="1701"/>
          </w:tcPr>
          <w:p w14:paraId="27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26. Механик </w:t>
            </w:r>
          </w:p>
        </w:tc>
        <w:tc>
          <w:tcPr>
            <w:tcW w:type="dxa" w:w="5245"/>
          </w:tcPr>
          <w:p w14:paraId="28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составление и предоставление в бухгалтерию путевых листов и другой документации. Содержание автотранспорта в исправном состоянии, своевременное прохождение технических осмотров, заключение договоров ОСАГО. Отсутствие фактов нарушения правил охраны труда, техники безопасности, безопасности дорожного движения (включая отсутствие административных штрафов)</w:t>
            </w:r>
          </w:p>
        </w:tc>
        <w:tc>
          <w:tcPr>
            <w:tcW w:type="dxa" w:w="2406"/>
          </w:tcPr>
          <w:p w14:paraId="29000000">
            <w:pPr>
              <w:pStyle w:val="Style_4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300%</w:t>
            </w:r>
          </w:p>
        </w:tc>
      </w:tr>
    </w:tbl>
    <w:p w14:paraId="2A000000">
      <w:pPr>
        <w:pStyle w:val="Style_4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B000000">
      <w:pPr>
        <w:pStyle w:val="Style_4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к Положению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Перечень должностей работников муниципального автономного учреждения «Автовокзал», относимых к основном</w:t>
      </w:r>
      <w:r>
        <w:rPr>
          <w:rFonts w:ascii="Times New Roman" w:hAnsi="Times New Roman"/>
          <w:sz w:val="28"/>
        </w:rPr>
        <w:t>у персоналу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стро</w:t>
      </w:r>
      <w:r>
        <w:rPr>
          <w:rFonts w:ascii="Times New Roman" w:hAnsi="Times New Roman"/>
          <w:sz w:val="28"/>
        </w:rPr>
        <w:t xml:space="preserve">кой 15 </w:t>
      </w:r>
      <w:r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z w:val="28"/>
        </w:rPr>
        <w:t>:</w:t>
      </w:r>
    </w:p>
    <w:p w14:paraId="2C000000">
      <w:pPr>
        <w:pStyle w:val="Style_4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«15. Механик».</w:t>
      </w:r>
    </w:p>
    <w:p w14:paraId="2D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2E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Постановление вступает в силу после</w:t>
      </w:r>
      <w:r>
        <w:rPr>
          <w:rFonts w:ascii="Times New Roman" w:hAnsi="Times New Roman"/>
          <w:sz w:val="28"/>
        </w:rPr>
        <w:t xml:space="preserve"> его официального опубликования.</w:t>
      </w:r>
    </w:p>
    <w:p w14:paraId="2F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Муниципальному казенному учреждению «Центр бухгалтерского учета» использовать в работе настоящее постановление.</w:t>
      </w:r>
    </w:p>
    <w:p w14:paraId="3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3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32000000">
      <w:pPr>
        <w:spacing w:after="0" w:line="240" w:lineRule="exact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городского округа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А.В. Агафонов</w:t>
      </w:r>
    </w:p>
    <w:p w14:paraId="33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48" w:orient="portrait" w:w="11909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  <w:p w14:paraId="03000000">
    <w:pPr>
      <w:pStyle w:val="Style_2"/>
      <w:rPr>
        <w:rFonts w:ascii="Times New Roman" w:hAnsi="Times New Roman"/>
        <w:sz w:val="28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19.12.2024 Срок  приема заключений независимых экспертов до 28.12.2024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1778"/>
      </w:pPr>
    </w:lvl>
    <w:lvl w:ilvl="3">
      <w:start w:val="1"/>
      <w:numFmt w:val="decimal"/>
      <w:lvlText w:val="%1.%2.%3.%4."/>
      <w:lvlJc w:val="left"/>
      <w:pPr>
        <w:ind w:hanging="1080" w:left="2487"/>
      </w:pPr>
    </w:lvl>
    <w:lvl w:ilvl="4">
      <w:start w:val="1"/>
      <w:numFmt w:val="decimal"/>
      <w:lvlText w:val="%1.%2.%3.%4.%5."/>
      <w:lvlJc w:val="left"/>
      <w:pPr>
        <w:ind w:hanging="1080" w:left="2836"/>
      </w:pPr>
    </w:lvl>
    <w:lvl w:ilvl="5">
      <w:start w:val="1"/>
      <w:numFmt w:val="decimal"/>
      <w:lvlText w:val="%1.%2.%3.%4.%5.%6."/>
      <w:lvlJc w:val="left"/>
      <w:pPr>
        <w:ind w:hanging="1440" w:left="3545"/>
      </w:pPr>
    </w:lvl>
    <w:lvl w:ilvl="6">
      <w:start w:val="1"/>
      <w:numFmt w:val="decimal"/>
      <w:lvlText w:val="%1.%2.%3.%4.%5.%6.%7."/>
      <w:lvlJc w:val="left"/>
      <w:pPr>
        <w:ind w:hanging="1800" w:left="4254"/>
      </w:pPr>
    </w:lvl>
    <w:lvl w:ilvl="7">
      <w:start w:val="1"/>
      <w:numFmt w:val="decimal"/>
      <w:lvlText w:val="%1.%2.%3.%4.%5.%6.%7.%8."/>
      <w:lvlJc w:val="left"/>
      <w:pPr>
        <w:ind w:hanging="1800" w:left="4603"/>
      </w:pPr>
    </w:lvl>
    <w:lvl w:ilvl="8">
      <w:start w:val="1"/>
      <w:numFmt w:val="decimal"/>
      <w:lvlText w:val="%1.%2.%3.%4.%5.%6.%7.%8.%9."/>
      <w:lvlJc w:val="left"/>
      <w:pPr>
        <w:ind w:hanging="2160" w:left="531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harStyle10"/>
    <w:link w:val="Style_7_ch"/>
    <w:rPr>
      <w:rFonts w:ascii="Sylfaen" w:hAnsi="Sylfaen"/>
      <w:b w:val="0"/>
      <w:i w:val="0"/>
      <w:strike w:val="0"/>
      <w:color w:val="000000"/>
      <w:spacing w:val="0"/>
      <w:sz w:val="22"/>
      <w:u w:val="none"/>
    </w:rPr>
  </w:style>
  <w:style w:styleId="Style_7_ch" w:type="character">
    <w:name w:val="CharStyle10"/>
    <w:link w:val="Style_7"/>
    <w:rPr>
      <w:rFonts w:ascii="Sylfaen" w:hAnsi="Sylfaen"/>
      <w:b w:val="0"/>
      <w:i w:val="0"/>
      <w:strike w:val="0"/>
      <w:color w:val="000000"/>
      <w:spacing w:val="0"/>
      <w:sz w:val="22"/>
      <w:u w:val="none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harStyle6"/>
    <w:link w:val="Style_13_ch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13_ch" w:type="character">
    <w:name w:val="CharStyle6"/>
    <w:link w:val="Style_13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keepNext w:val="1"/>
      <w:keepLines w:val="1"/>
      <w:spacing w:after="30" w:line="264" w:lineRule="auto"/>
      <w:ind w:right="799"/>
      <w:jc w:val="center"/>
      <w:outlineLvl w:val="0"/>
    </w:pPr>
    <w:rPr>
      <w:rFonts w:ascii="Times New Roman" w:hAnsi="Times New Roman"/>
      <w:color w:val="000000"/>
      <w:sz w:val="26"/>
    </w:rPr>
  </w:style>
  <w:style w:styleId="Style_19_ch" w:type="character">
    <w:name w:val="heading 1"/>
    <w:link w:val="Style_19"/>
    <w:rPr>
      <w:rFonts w:ascii="Times New Roman" w:hAnsi="Times New Roman"/>
      <w:color w:val="000000"/>
      <w:sz w:val="2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текст (2)"/>
    <w:link w:val="Style_25_ch"/>
    <w:pPr>
      <w:widowControl w:val="0"/>
      <w:spacing w:line="274" w:lineRule="exact"/>
      <w:ind/>
      <w:jc w:val="both"/>
    </w:pPr>
    <w:rPr>
      <w:rFonts w:ascii="Times New Roman" w:hAnsi="Times New Roman"/>
      <w:sz w:val="24"/>
    </w:rPr>
  </w:style>
  <w:style w:styleId="Style_25_ch" w:type="character">
    <w:name w:val="Основной текст (2)"/>
    <w:link w:val="Style_25"/>
    <w:rPr>
      <w:rFonts w:ascii="Times New Roman" w:hAnsi="Times New Roman"/>
      <w:sz w:val="24"/>
    </w:rPr>
  </w:style>
  <w:style w:styleId="Style_26" w:type="paragraph">
    <w:name w:val="Регистр"/>
    <w:link w:val="Style_26_ch"/>
    <w:rPr>
      <w:rFonts w:ascii="Times New Roman" w:hAnsi="Times New Roman"/>
      <w:sz w:val="28"/>
    </w:rPr>
  </w:style>
  <w:style w:styleId="Style_26_ch" w:type="character">
    <w:name w:val="Регистр"/>
    <w:link w:val="Style_26"/>
    <w:rPr>
      <w:rFonts w:ascii="Times New Roman" w:hAnsi="Times New Roman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ead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3_ch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Grid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2024-12-19T04:29:04Z</dcterms:modified>
</cp:coreProperties>
</file>