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17462</wp:posOffset>
                </wp:positionH>
                <wp:positionV relativeFrom="page">
                  <wp:posOffset>3209924</wp:posOffset>
                </wp:positionV>
                <wp:extent cx="2525395" cy="13144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5395" cy="13144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spacing w:after="0" w:line="240" w:lineRule="exact"/>
                              <w:ind w:right="6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 внесении изменений в Порядок взаимодействия заказчика с уполномоченной организацией, утверждённый постановлением администрации Чайковского городского округа от 17.10.2023 № 1004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4075" cy="23907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/>
    <w:p w14:paraId="08000000">
      <w:pPr>
        <w:spacing w:after="0" w:line="240" w:lineRule="auto"/>
        <w:ind/>
        <w:jc w:val="both"/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июля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г. № </w:t>
      </w:r>
      <w:r>
        <w:rPr>
          <w:rFonts w:ascii="Times New Roman" w:hAnsi="Times New Roman"/>
          <w:sz w:val="28"/>
        </w:rPr>
        <w:t>223</w:t>
      </w:r>
      <w:r>
        <w:rPr>
          <w:rFonts w:ascii="Times New Roman" w:hAnsi="Times New Roman"/>
          <w:sz w:val="28"/>
        </w:rPr>
        <w:t>-ФЗ «</w:t>
      </w:r>
      <w:r>
        <w:rPr>
          <w:rFonts w:ascii="Times New Roman" w:hAnsi="Times New Roman"/>
          <w:sz w:val="28"/>
        </w:rPr>
        <w:t>О закупк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товаров, работ, услуг </w:t>
      </w:r>
      <w:r>
        <w:rPr>
          <w:rFonts w:ascii="Times New Roman" w:hAnsi="Times New Roman"/>
          <w:sz w:val="28"/>
        </w:rPr>
        <w:t>отдельными видами юридических лиц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Чайковского городского округа, в целях оптимизации закупочной деятельности </w:t>
      </w:r>
      <w:r>
        <w:rPr>
          <w:rFonts w:ascii="Times New Roman" w:hAnsi="Times New Roman"/>
          <w:sz w:val="28"/>
        </w:rPr>
        <w:t>муниципальных бюджетных и автономных учреждений, муниципальных унитарных предприятий</w:t>
      </w:r>
      <w:r>
        <w:rPr>
          <w:rFonts w:ascii="Times New Roman" w:hAnsi="Times New Roman"/>
          <w:sz w:val="28"/>
        </w:rPr>
        <w:t xml:space="preserve"> Чайковского городского округа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 Порядок взаимодействия заказчика с уполномоченной организацией, утверждённый постановлением администрации Чайковского городского округа от 17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1004</w:t>
      </w:r>
      <w:r>
        <w:rPr>
          <w:rFonts w:ascii="Times New Roman" w:hAnsi="Times New Roman"/>
          <w:sz w:val="28"/>
        </w:rPr>
        <w:t>, следующие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: </w:t>
      </w:r>
    </w:p>
    <w:p w14:paraId="10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первый</w:t>
      </w:r>
      <w:r>
        <w:rPr>
          <w:rFonts w:ascii="Times New Roman" w:hAnsi="Times New Roman"/>
          <w:sz w:val="28"/>
        </w:rPr>
        <w:t xml:space="preserve"> подпункта 2.1.2. пункта 2.1. раздела 2 изложить в следующей редакции: «2.1.2. </w:t>
      </w:r>
      <w:r>
        <w:rPr>
          <w:rFonts w:ascii="Times New Roman" w:hAnsi="Times New Roman"/>
          <w:sz w:val="28"/>
        </w:rPr>
        <w:t xml:space="preserve">Рассматривает в течение семи рабочих дней проект закупки (Приложение к настоящему Порядку) или информацию по закупкам в РИС Закупки ПК, поступившие от заказчика </w:t>
      </w:r>
      <w:r>
        <w:rPr>
          <w:rFonts w:ascii="Times New Roman" w:hAnsi="Times New Roman"/>
          <w:sz w:val="28"/>
        </w:rPr>
        <w:t xml:space="preserve">(далее – проект закупки), </w:t>
      </w:r>
      <w:r>
        <w:rPr>
          <w:rFonts w:ascii="Times New Roman" w:hAnsi="Times New Roman"/>
          <w:sz w:val="28"/>
        </w:rPr>
        <w:t>на предмет наличия в н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необходимой для формирования извещения об осуществлении закупки и (или) документации о закупке информации, предусмотренной Законом № 223-ФЗ и (или) Положением о закупке заказчика (далее – информация):</w:t>
      </w:r>
      <w:r>
        <w:rPr>
          <w:rFonts w:ascii="Times New Roman" w:hAnsi="Times New Roman"/>
          <w:sz w:val="28"/>
        </w:rPr>
        <w:t>»;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подпункте 2.2.5. пункта 2.2. раздела 2 исключить слова «и на бумажном носителе»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3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Постановление вступает в силу после его официального опубликования.</w:t>
      </w:r>
    </w:p>
    <w:p w14:paraId="14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городского округа –</w:t>
      </w:r>
    </w:p>
    <w:p w14:paraId="1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администрации </w:t>
      </w:r>
    </w:p>
    <w:p w14:paraId="1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городского округа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А.В. Агафонов</w:t>
      </w:r>
    </w:p>
    <w:sectPr>
      <w:headerReference r:id="rId1" w:type="default"/>
      <w:footerReference r:id="rId2" w:type="default"/>
      <w:pgSz w:h="16838" w:orient="portrait" w:w="11906"/>
      <w:pgMar w:bottom="1134" w:footer="414" w:gutter="0" w:header="709" w:left="1418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12.12.2024 Срок  приема заключений независимых экспертов до 21.12.2024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Комментарий"/>
    <w:basedOn w:val="Style_5"/>
    <w:next w:val="Style_5"/>
    <w:link w:val="Style_6_ch"/>
    <w:pPr>
      <w:widowControl w:val="0"/>
      <w:spacing w:after="0" w:before="75" w:line="240" w:lineRule="auto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6_ch" w:type="character">
    <w:name w:val="Комментарий"/>
    <w:basedOn w:val="Style_5_ch"/>
    <w:link w:val="Style_6"/>
    <w:rPr>
      <w:rFonts w:ascii="Times New Roman CYR" w:hAnsi="Times New Roman CYR"/>
      <w:color w:val="353842"/>
      <w:sz w:val="24"/>
    </w:rPr>
  </w:style>
  <w:style w:styleId="Style_3" w:type="paragraph">
    <w:name w:val="ConsPlusNormal"/>
    <w:link w:val="Style_3_ch"/>
    <w:pPr>
      <w:widowControl w:val="0"/>
      <w:ind/>
    </w:pPr>
    <w:rPr>
      <w:sz w:val="22"/>
    </w:rPr>
  </w:style>
  <w:style w:styleId="Style_3_ch" w:type="character">
    <w:name w:val="ConsPlusNormal"/>
    <w:link w:val="Style_3"/>
    <w:rPr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"/>
    <w:basedOn w:val="Style_5"/>
    <w:link w:val="Style_8_ch"/>
    <w:pPr>
      <w:spacing w:after="120"/>
      <w:ind/>
    </w:pPr>
  </w:style>
  <w:style w:styleId="Style_8_ch" w:type="character">
    <w:name w:val="Body Text"/>
    <w:basedOn w:val="Style_5_ch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Информация о версии"/>
    <w:basedOn w:val="Style_6"/>
    <w:next w:val="Style_5"/>
    <w:link w:val="Style_10_ch"/>
    <w:rPr>
      <w:i w:val="1"/>
    </w:rPr>
  </w:style>
  <w:style w:styleId="Style_10_ch" w:type="character">
    <w:name w:val="Информация о версии"/>
    <w:basedOn w:val="Style_6_ch"/>
    <w:link w:val="Style_10"/>
    <w:rPr>
      <w:i w:val="1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5" w:type="paragraph">
    <w:name w:val="Нормальный (таблица)"/>
    <w:basedOn w:val="Style_5"/>
    <w:next w:val="Style_5"/>
    <w:link w:val="Style_15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15_ch" w:type="character">
    <w:name w:val="Нормальный (таблица)"/>
    <w:basedOn w:val="Style_5_ch"/>
    <w:link w:val="Style_15"/>
    <w:rPr>
      <w:rFonts w:ascii="Times New Roman CYR" w:hAnsi="Times New Roman CYR"/>
      <w:sz w:val="24"/>
    </w:rPr>
  </w:style>
  <w:style w:styleId="Style_16" w:type="paragraph">
    <w:name w:val="Гипертекстовая ссылка"/>
    <w:basedOn w:val="Style_17"/>
    <w:link w:val="Style_16_ch"/>
    <w:rPr>
      <w:rFonts w:ascii="Times New Roman" w:hAnsi="Times New Roman"/>
      <w:b w:val="0"/>
      <w:color w:val="000000"/>
    </w:rPr>
  </w:style>
  <w:style w:styleId="Style_16_ch" w:type="character">
    <w:name w:val="Гипертекстовая ссылка"/>
    <w:basedOn w:val="Style_17_ch"/>
    <w:link w:val="Style_16"/>
    <w:rPr>
      <w:rFonts w:ascii="Times New Roman" w:hAnsi="Times New Roman"/>
      <w:b w:val="0"/>
      <w:color w:val="000000"/>
    </w:rPr>
  </w:style>
  <w:style w:styleId="Style_18" w:type="paragraph">
    <w:name w:val="Заголовок к тексту"/>
    <w:basedOn w:val="Style_5"/>
    <w:next w:val="Style_8"/>
    <w:link w:val="Style_18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18_ch" w:type="character">
    <w:name w:val="Заголовок к тексту"/>
    <w:basedOn w:val="Style_5_ch"/>
    <w:link w:val="Style_18"/>
    <w:rPr>
      <w:rFonts w:ascii="Times New Roman" w:hAnsi="Times New Roman"/>
      <w:b w:val="1"/>
      <w:sz w:val="28"/>
    </w:rPr>
  </w:style>
  <w:style w:styleId="Style_19" w:type="paragraph">
    <w:name w:val="header"/>
    <w:basedOn w:val="Style_5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5_ch"/>
    <w:link w:val="Style_19"/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ext w:val="Style_5"/>
    <w:link w:val="Style_22_ch"/>
    <w:semiHidden w:val="1"/>
    <w:unhideWhenUsed w:val="1"/>
    <w:pPr>
      <w:spacing w:line="288" w:lineRule="auto"/>
      <w:ind w:firstLine="0" w:left="1"/>
      <w:jc w:val="both"/>
    </w:pPr>
    <w:rPr>
      <w:rFonts w:ascii="Times New Roman" w:hAnsi="Times New Roman"/>
      <w:color w:val="000000"/>
    </w:rPr>
  </w:style>
  <w:style w:styleId="Style_22_ch" w:type="character">
    <w:link w:val="Style_22"/>
    <w:semiHidden w:val="1"/>
    <w:unhideWhenUsed w:val="1"/>
    <w:rPr>
      <w:rFonts w:ascii="Times New Roman" w:hAnsi="Times New Roman"/>
      <w:color w:val="000000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5"/>
    <w:next w:val="Style_5"/>
    <w:link w:val="Style_2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24_ch" w:type="character">
    <w:name w:val="heading 1"/>
    <w:basedOn w:val="Style_5_ch"/>
    <w:link w:val="Style_24"/>
    <w:rPr>
      <w:rFonts w:ascii="Times New Roman CYR" w:hAnsi="Times New Roman CYR"/>
      <w:b w:val="1"/>
      <w:color w:val="26282F"/>
      <w:sz w:val="24"/>
    </w:rPr>
  </w:style>
  <w:style w:styleId="Style_25" w:type="paragraph">
    <w:name w:val="Hyperlink"/>
    <w:basedOn w:val="Style_21"/>
    <w:link w:val="Style_25_ch"/>
    <w:rPr>
      <w:color w:themeColor="hyperlink" w:val="0563C1"/>
      <w:u w:val="single"/>
    </w:rPr>
  </w:style>
  <w:style w:styleId="Style_25_ch" w:type="character">
    <w:name w:val="Hyperlink"/>
    <w:basedOn w:val="Style_21_ch"/>
    <w:link w:val="Style_25"/>
    <w:rPr>
      <w:color w:themeColor="hyperlink"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7" w:type="paragraph">
    <w:name w:val="Цветовое выделение"/>
    <w:link w:val="Style_17_ch"/>
    <w:rPr>
      <w:b w:val="1"/>
      <w:color w:val="000000"/>
    </w:rPr>
  </w:style>
  <w:style w:styleId="Style_17_ch" w:type="character">
    <w:name w:val="Цветовое выделение"/>
    <w:link w:val="Style_17"/>
    <w:rPr>
      <w:b w:val="1"/>
      <w:color w:val="00000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Таблицы (моноширинный)"/>
    <w:basedOn w:val="Style_5"/>
    <w:next w:val="Style_5"/>
    <w:link w:val="Style_29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29_ch" w:type="character">
    <w:name w:val="Таблицы (моноширинный)"/>
    <w:basedOn w:val="Style_5_ch"/>
    <w:link w:val="Style_29"/>
    <w:rPr>
      <w:rFonts w:ascii="Courier New" w:hAnsi="Courier New"/>
      <w:sz w:val="24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alloon Text"/>
    <w:basedOn w:val="Style_5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link w:val="Style_37_ch"/>
    <w:semiHidden w:val="1"/>
    <w:unhideWhenUsed w:val="1"/>
    <w:rPr>
      <w:rFonts w:ascii="Times New Roman" w:hAnsi="Times New Roman"/>
      <w:color w:val="000000"/>
      <w:sz w:val="20"/>
      <w:vertAlign w:val="superscript"/>
    </w:rPr>
  </w:style>
  <w:style w:styleId="Style_37_ch" w:type="character">
    <w:link w:val="Style_37"/>
    <w:semiHidden w:val="1"/>
    <w:unhideWhenUsed w:val="1"/>
    <w:rPr>
      <w:rFonts w:ascii="Times New Roman" w:hAnsi="Times New Roman"/>
      <w:color w:val="000000"/>
      <w:sz w:val="20"/>
      <w:vertAlign w:val="superscript"/>
    </w:rPr>
  </w:style>
  <w:style w:styleId="Style_38" w:type="table">
    <w:name w:val="Table Grid"/>
    <w:basedOn w:val="Style_39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Grid"/>
    <w:rPr>
      <w:rFonts w:asciiTheme="minorAscii" w:hAnsiTheme="minorHAnsi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2024-12-12T11:48:20Z</dcterms:modified>
</cp:coreProperties>
</file>