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9207</wp:posOffset>
                </wp:positionH>
                <wp:positionV relativeFrom="page">
                  <wp:posOffset>3267074</wp:posOffset>
                </wp:positionV>
                <wp:extent cx="2692400" cy="1678304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692400" cy="1678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 w:line="240" w:lineRule="exact"/>
                              <w:ind w:right="62"/>
                              <w:jc w:val="both"/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внесении изменени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в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Регламент работы рабочей группы по проверке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обоснованности закупок для нужд муниципальных учреждений Чайковского городского округа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, утвержденный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постановление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администрации Чайковского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.07.2021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>667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rPr>
                                <w:rFonts w:ascii="Calibri" w:hAnsi="Calibri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rPr>
                                <w:rFonts w:ascii="Calibri" w:hAnsi="Calibri"/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4075" cy="23907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/>
    <w:p w14:paraId="08000000">
      <w:pPr>
        <w:spacing w:after="0" w:line="240" w:lineRule="auto"/>
        <w:ind/>
        <w:jc w:val="both"/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>и законами</w:t>
      </w:r>
      <w:r>
        <w:rPr>
          <w:rFonts w:ascii="Times New Roman" w:hAnsi="Times New Roman"/>
          <w:sz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3 </w:t>
      </w:r>
      <w:r>
        <w:rPr>
          <w:rFonts w:ascii="Times New Roman" w:hAnsi="Times New Roman"/>
          <w:sz w:val="28"/>
        </w:rPr>
        <w:t>г. № </w:t>
      </w: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>-ФЗ «</w:t>
      </w:r>
      <w:r>
        <w:rPr>
          <w:rFonts w:ascii="Times New Roman" w:hAnsi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Чайковского городского округа</w:t>
      </w:r>
    </w:p>
    <w:p w14:paraId="10000000">
      <w:pPr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4"/>
        <w:numPr>
          <w:ilvl w:val="0"/>
          <w:numId w:val="1"/>
        </w:numPr>
        <w:tabs>
          <w:tab w:leader="none" w:pos="993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Регламент работы рабочей группы по проверке обоснованности закупок для нужд муниципальных учреждений Чайковского городского округа</w:t>
      </w:r>
      <w:r>
        <w:rPr>
          <w:rFonts w:ascii="Times New Roman" w:hAnsi="Times New Roman"/>
          <w:sz w:val="28"/>
        </w:rPr>
        <w:t xml:space="preserve">, утверждённый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Чайковского </w:t>
      </w:r>
      <w:r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9 июля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667</w:t>
      </w:r>
      <w:r>
        <w:rPr>
          <w:rFonts w:ascii="Times New Roman" w:hAnsi="Times New Roman"/>
          <w:sz w:val="28"/>
        </w:rPr>
        <w:t xml:space="preserve"> (в редакции</w:t>
      </w:r>
      <w: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Чайковского городского округа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11.01.2022 № 18, от 18.04.2022 № 414, от 30.12.2022 № 1491</w:t>
      </w:r>
      <w:r>
        <w:rPr>
          <w:rFonts w:ascii="Times New Roman" w:hAnsi="Times New Roman"/>
          <w:sz w:val="28"/>
        </w:rPr>
        <w:t>, от 03.04.2023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293</w:t>
      </w:r>
      <w:r>
        <w:rPr>
          <w:rFonts w:ascii="Times New Roman" w:hAnsi="Times New Roman"/>
          <w:sz w:val="28"/>
        </w:rPr>
        <w:t>, от 22.08.2023 № 834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Регламент) </w:t>
      </w:r>
      <w:r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е изменени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pStyle w:val="Style_4"/>
        <w:tabs>
          <w:tab w:leader="none" w:pos="993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пункте 1.3.2 Регламента цифры: «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» заменить цифрами: «2025».</w:t>
      </w:r>
    </w:p>
    <w:p w14:paraId="13000000">
      <w:pPr>
        <w:pStyle w:val="Style_4"/>
        <w:tabs>
          <w:tab w:leader="none" w:pos="1134" w:val="left"/>
        </w:tabs>
        <w:spacing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4000000">
      <w:pPr>
        <w:pStyle w:val="Style_5"/>
        <w:tabs>
          <w:tab w:leader="none" w:pos="1134" w:val="left"/>
        </w:tabs>
        <w:spacing w:after="0" w:line="36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распространяется на правоотношения, возникшие с 1 января 2024 г.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городского округа –</w:t>
      </w:r>
      <w:bookmarkStart w:id="1" w:name="_GoBack"/>
      <w:bookmarkEnd w:id="1"/>
    </w:p>
    <w:p w14:paraId="17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8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городского округа                            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Агафонов</w:t>
      </w:r>
    </w:p>
    <w:sectPr>
      <w:headerReference r:id="rId1" w:type="default"/>
      <w:footerReference r:id="rId2" w:type="default"/>
      <w:pgSz w:h="16838" w:orient="portrait" w:w="11906"/>
      <w:pgMar w:bottom="568" w:footer="414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22.11.2024 Срок  приема заключений независимых экспертов до 06.12.2024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Цветовое выделение"/>
    <w:link w:val="Style_8_ch"/>
    <w:rPr>
      <w:b w:val="1"/>
      <w:color w:val="000000"/>
    </w:rPr>
  </w:style>
  <w:style w:styleId="Style_8_ch" w:type="character">
    <w:name w:val="Цветовое выделение"/>
    <w:link w:val="Style_8"/>
    <w:rPr>
      <w:b w:val="1"/>
      <w:color w:val="000000"/>
    </w:rPr>
  </w:style>
  <w:style w:styleId="Style_9" w:type="paragraph">
    <w:name w:val="Таблицы (моноширинный)"/>
    <w:basedOn w:val="Style_3"/>
    <w:next w:val="Style_3"/>
    <w:link w:val="Style_9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9_ch" w:type="character">
    <w:name w:val="Таблицы (моноширинный)"/>
    <w:basedOn w:val="Style_3_ch"/>
    <w:link w:val="Style_9"/>
    <w:rPr>
      <w:rFonts w:ascii="Courier New" w:hAnsi="Courier New"/>
      <w:sz w:val="24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Заголовок к тексту"/>
    <w:basedOn w:val="Style_3"/>
    <w:next w:val="Style_14"/>
    <w:link w:val="Style_13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13_ch" w:type="character">
    <w:name w:val="Заголовок к тексту"/>
    <w:basedOn w:val="Style_3_ch"/>
    <w:link w:val="Style_13"/>
    <w:rPr>
      <w:rFonts w:ascii="Times New Roman" w:hAnsi="Times New Roman"/>
      <w:b w:val="1"/>
      <w:sz w:val="28"/>
    </w:rPr>
  </w:style>
  <w:style w:styleId="Style_4" w:type="paragraph">
    <w:name w:val="ConsPlusNormal"/>
    <w:link w:val="Style_4_ch"/>
    <w:pPr>
      <w:widowControl w:val="0"/>
      <w:ind/>
    </w:pPr>
    <w:rPr>
      <w:sz w:val="22"/>
    </w:rPr>
  </w:style>
  <w:style w:styleId="Style_4_ch" w:type="character">
    <w:name w:val="ConsPlusNormal"/>
    <w:link w:val="Style_4"/>
    <w:rPr>
      <w:sz w:val="22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3"/>
    <w:next w:val="Style_3"/>
    <w:link w:val="Style_20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20_ch" w:type="character">
    <w:name w:val="heading 1"/>
    <w:basedOn w:val="Style_3_ch"/>
    <w:link w:val="Style_20"/>
    <w:rPr>
      <w:rFonts w:ascii="Times New Roman CYR" w:hAnsi="Times New Roman CYR"/>
      <w:b w:val="1"/>
      <w:color w:val="26282F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Нормальный (таблица)"/>
    <w:basedOn w:val="Style_3"/>
    <w:next w:val="Style_3"/>
    <w:link w:val="Style_23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23_ch" w:type="character">
    <w:name w:val="Нормальный (таблица)"/>
    <w:basedOn w:val="Style_3_ch"/>
    <w:link w:val="Style_23"/>
    <w:rPr>
      <w:rFonts w:ascii="Times New Roman CYR" w:hAnsi="Times New Roman CYR"/>
      <w:sz w:val="24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5" w:type="paragraph">
    <w:name w:val="Информация о версии"/>
    <w:basedOn w:val="Style_26"/>
    <w:next w:val="Style_3"/>
    <w:link w:val="Style_25_ch"/>
    <w:rPr>
      <w:i w:val="1"/>
    </w:rPr>
  </w:style>
  <w:style w:styleId="Style_25_ch" w:type="character">
    <w:name w:val="Информация о версии"/>
    <w:basedOn w:val="Style_26_ch"/>
    <w:link w:val="Style_25"/>
    <w:rPr>
      <w:i w:val="1"/>
    </w:rPr>
  </w:style>
  <w:style w:styleId="Style_27" w:type="paragraph">
    <w:name w:val="Гипертекстовая ссылка"/>
    <w:basedOn w:val="Style_8"/>
    <w:link w:val="Style_27_ch"/>
    <w:rPr>
      <w:rFonts w:ascii="Times New Roman" w:hAnsi="Times New Roman"/>
      <w:b w:val="0"/>
      <w:color w:val="000000"/>
    </w:rPr>
  </w:style>
  <w:style w:styleId="Style_27_ch" w:type="character">
    <w:name w:val="Гипертекстовая ссылка"/>
    <w:basedOn w:val="Style_8_ch"/>
    <w:link w:val="Style_27"/>
    <w:rPr>
      <w:rFonts w:ascii="Times New Roman" w:hAnsi="Times New Roman"/>
      <w:b w:val="0"/>
      <w:color w:val="00000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3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4" w:type="paragraph">
    <w:name w:val="Body Text"/>
    <w:basedOn w:val="Style_3"/>
    <w:link w:val="Style_14_ch"/>
    <w:pPr>
      <w:spacing w:after="120"/>
      <w:ind/>
    </w:pPr>
  </w:style>
  <w:style w:styleId="Style_14_ch" w:type="character">
    <w:name w:val="Body Text"/>
    <w:basedOn w:val="Style_3_ch"/>
    <w:link w:val="Style_14"/>
  </w:style>
  <w:style w:styleId="Style_26" w:type="paragraph">
    <w:name w:val="Комментарий"/>
    <w:basedOn w:val="Style_3"/>
    <w:next w:val="Style_3"/>
    <w:link w:val="Style_26_ch"/>
    <w:pPr>
      <w:widowControl w:val="0"/>
      <w:spacing w:after="0" w:before="75" w:line="240" w:lineRule="auto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26_ch" w:type="character">
    <w:name w:val="Комментарий"/>
    <w:basedOn w:val="Style_3_ch"/>
    <w:link w:val="Style_26"/>
    <w:rPr>
      <w:rFonts w:ascii="Times New Roman CYR" w:hAnsi="Times New Roman CYR"/>
      <w:color w:val="353842"/>
      <w:sz w:val="24"/>
    </w:rPr>
  </w:style>
  <w:style w:styleId="Style_30" w:type="paragraph">
    <w:name w:val="toc 5"/>
    <w:next w:val="Style_3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Balloon Text"/>
    <w:basedOn w:val="Style_3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3_ch"/>
    <w:link w:val="Style_34"/>
    <w:rPr>
      <w:rFonts w:ascii="Tahoma" w:hAnsi="Tahoma"/>
      <w:sz w:val="16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2024-11-22T10:18:13Z</dcterms:modified>
</cp:coreProperties>
</file>