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B" w:rsidRDefault="00DF0CD3">
      <w:pPr>
        <w:widowControl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margin-left:321.15pt;margin-top:150.65pt;width:144.85pt;height:25.45pt;z-index:251658240;visibility:visible" stroked="f">
            <v:textbox>
              <w:txbxContent>
                <w:p w:rsidR="00401CFB" w:rsidRDefault="00401CFB">
                  <w:pPr>
                    <w:widowControl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Picture 2" o:spid="_x0000_s1027" type="#_x0000_t202" style="position:absolute;margin-left:-2.5pt;margin-top:150.65pt;width:183.4pt;height:25.45pt;z-index:251659264;visibility:visible" stroked="f">
            <v:textbox>
              <w:txbxContent>
                <w:p w:rsidR="00401CFB" w:rsidRDefault="00401CFB">
                  <w:pPr>
                    <w:widowControl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5953125" cy="24003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FB" w:rsidRPr="000E4FBA" w:rsidRDefault="00401CFB">
      <w:pPr>
        <w:widowControl/>
        <w:spacing w:line="240" w:lineRule="atLeast"/>
        <w:ind w:right="4961"/>
        <w:jc w:val="both"/>
        <w:rPr>
          <w:rFonts w:ascii="Times New Roman" w:hAnsi="Times New Roman"/>
          <w:b/>
          <w:sz w:val="28"/>
          <w:lang w:val="ru-RU"/>
        </w:rPr>
      </w:pPr>
      <w:r w:rsidRPr="000E4FBA">
        <w:rPr>
          <w:rFonts w:ascii="Times New Roman" w:hAnsi="Times New Roman"/>
          <w:b/>
          <w:sz w:val="28"/>
          <w:lang w:val="ru-RU"/>
        </w:rPr>
        <w:t>О внесении изменений в Положение о системе оплаты труда работников Муниципального бюджетного учреждения «Ремонтно-аварийно-эксплуатационная служба по обслуживанию муниципальных образовательных учреждений», утвержденное постановлением администрации Чайковского городского округа от 02.04.2021 №</w:t>
      </w:r>
      <w:r>
        <w:rPr>
          <w:rFonts w:ascii="Times New Roman" w:hAnsi="Times New Roman"/>
          <w:b/>
          <w:sz w:val="28"/>
        </w:rPr>
        <w:t> </w:t>
      </w:r>
      <w:r w:rsidRPr="000E4FBA">
        <w:rPr>
          <w:rFonts w:ascii="Times New Roman" w:hAnsi="Times New Roman"/>
          <w:b/>
          <w:sz w:val="28"/>
          <w:lang w:val="ru-RU"/>
        </w:rPr>
        <w:t>298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 xml:space="preserve">В соответствии со </w:t>
      </w:r>
      <w:hyperlink r:id="rId7" w:history="1">
        <w:r w:rsidRPr="000E4FBA">
          <w:rPr>
            <w:rFonts w:ascii="Times New Roman" w:hAnsi="Times New Roman"/>
            <w:sz w:val="28"/>
            <w:lang w:val="ru-RU"/>
          </w:rPr>
          <w:t>статьями 134, 135</w:t>
        </w:r>
      </w:hyperlink>
      <w:r w:rsidRPr="000E4FBA">
        <w:rPr>
          <w:rFonts w:ascii="Times New Roman" w:hAnsi="Times New Roman"/>
          <w:sz w:val="28"/>
          <w:lang w:val="ru-RU"/>
        </w:rPr>
        <w:t xml:space="preserve">, </w:t>
      </w:r>
      <w:hyperlink r:id="rId8" w:history="1">
        <w:r w:rsidRPr="000E4FBA">
          <w:rPr>
            <w:rFonts w:ascii="Times New Roman" w:hAnsi="Times New Roman"/>
            <w:sz w:val="28"/>
            <w:lang w:val="ru-RU"/>
          </w:rPr>
          <w:t>144</w:t>
        </w:r>
      </w:hyperlink>
      <w:r w:rsidRPr="000E4FBA">
        <w:rPr>
          <w:rFonts w:ascii="Times New Roman" w:hAnsi="Times New Roman"/>
          <w:sz w:val="28"/>
          <w:lang w:val="ru-RU"/>
        </w:rPr>
        <w:t xml:space="preserve">, </w:t>
      </w:r>
      <w:hyperlink r:id="rId9" w:history="1">
        <w:r w:rsidRPr="000E4FBA">
          <w:rPr>
            <w:rFonts w:ascii="Times New Roman" w:hAnsi="Times New Roman"/>
            <w:sz w:val="28"/>
            <w:lang w:val="ru-RU"/>
          </w:rPr>
          <w:t>145</w:t>
        </w:r>
      </w:hyperlink>
      <w:r w:rsidRPr="000E4FBA">
        <w:rPr>
          <w:rFonts w:ascii="Times New Roman" w:hAnsi="Times New Roman"/>
          <w:sz w:val="28"/>
          <w:lang w:val="ru-RU"/>
        </w:rPr>
        <w:t xml:space="preserve"> Трудового кодекса Российской Федерации, </w:t>
      </w:r>
      <w:hyperlink r:id="rId10" w:history="1">
        <w:r w:rsidRPr="000E4FBA">
          <w:rPr>
            <w:rFonts w:ascii="Times New Roman" w:hAnsi="Times New Roman"/>
            <w:sz w:val="28"/>
            <w:lang w:val="ru-RU"/>
          </w:rPr>
          <w:t>статьей 16</w:t>
        </w:r>
      </w:hyperlink>
      <w:r w:rsidRPr="000E4FBA">
        <w:rPr>
          <w:rFonts w:ascii="Times New Roman" w:hAnsi="Times New Roman"/>
          <w:sz w:val="28"/>
          <w:lang w:val="ru-RU"/>
        </w:rPr>
        <w:t xml:space="preserve"> Федерального закона от 6 октября 2003 г. №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131-ФЗ «Об общих принципах организации местного самоуправления в Российской Федерации», Уставом Чайковского городского округа, решением Чайковской городской Думы от 19 декабря 2018 г. № 96 «Об оплате труда работников муниципальных учреждений Чайковского городского округа», решением Думы Чайковского городского округа «О бюджете Чайковского городского округа Пермского края на 2024 год и на плановый период 2025 и 2026 годов»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ПОСТАНОВЛЯЮ: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1. Внести изменения в Положение о системе оплаты труда работников Муниципального бюджетного учреждения «Ремонтно-аварийно-эксплуатационная служба по обслуживанию муниципальных образовательных учреждений», утвержденное постановлением администрации Чайковского городского округа от 2 апреля 2021 г. №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298 (в редакции постановлений администрации Чайковского городского округа от 8 ноября 2021 г. № 1163, от 3 июля 2023 г. № 644):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1.1. в пункте 4.2 слова «с 1 июля 2023г. – 18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087,00 рублей, с 1 октября 2023г. – 18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648,00 рублей» заменить словами «19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562,00 рублей»;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lastRenderedPageBreak/>
        <w:t>1.2. в пункте 4.3 слова «с 1 июля 2023г. – 15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895,00 рублей, с 1 октября 2023г. – 16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388,00 рублей» заменить словами «17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191,00 рубль»;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1.3. приложение 2 к Положению о системе оплаты труда работников Муниципального бюджетного учреждения «Ремонтно-аварийно-эксплуатационная служба по обслуживанию муниципальных образовательных учреждений» изложить в новой редакции согласно приложению 1 к настоящему постановлению;</w:t>
      </w:r>
    </w:p>
    <w:p w:rsidR="00401CFB" w:rsidRPr="000E4FBA" w:rsidRDefault="00401CFB">
      <w:pPr>
        <w:widowControl/>
        <w:ind w:firstLine="720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1.4. приложение 3 к Положению о системе оплаты труда работников Муниципального бюджетного учреждения «Ремонтно-аварийно-эксплуатационная служба по обслуживанию муниципальных образовательных учреждений» изложить в новой редакции согласно приложению 2 к настоящему постановлению.</w:t>
      </w:r>
    </w:p>
    <w:p w:rsidR="00401CFB" w:rsidRPr="000E4FBA" w:rsidRDefault="00401CFB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401CFB" w:rsidRPr="000E4FBA" w:rsidRDefault="00401CFB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3. Постановление вступает в силу после его официального опубликования и распространяется на правоотношения, возникшие с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 </w:t>
      </w:r>
      <w:r w:rsidRPr="000E4FBA">
        <w:rPr>
          <w:rFonts w:ascii="Times New Roman" w:hAnsi="Times New Roman"/>
          <w:sz w:val="28"/>
          <w:lang w:val="ru-RU"/>
        </w:rPr>
        <w:t>октября 2024 г.</w:t>
      </w:r>
    </w:p>
    <w:p w:rsidR="00401CFB" w:rsidRPr="000E4FBA" w:rsidRDefault="00401CFB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401CFB" w:rsidRPr="000E4FBA" w:rsidRDefault="00401CFB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401CFB" w:rsidRPr="000E4FBA" w:rsidRDefault="00401CFB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 xml:space="preserve">Глава городского округа – </w:t>
      </w:r>
    </w:p>
    <w:p w:rsidR="00401CFB" w:rsidRPr="000E4FBA" w:rsidRDefault="00401CFB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>глава администрации</w:t>
      </w:r>
    </w:p>
    <w:p w:rsidR="00401CFB" w:rsidRPr="000E4FBA" w:rsidRDefault="00401CFB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E4FBA">
        <w:rPr>
          <w:rFonts w:ascii="Times New Roman" w:hAnsi="Times New Roman"/>
          <w:sz w:val="28"/>
          <w:lang w:val="ru-RU"/>
        </w:rPr>
        <w:t xml:space="preserve">Чайковского городского округа </w:t>
      </w:r>
      <w:r w:rsidRPr="000E4FBA">
        <w:rPr>
          <w:rFonts w:ascii="Times New Roman" w:hAnsi="Times New Roman"/>
          <w:sz w:val="28"/>
          <w:lang w:val="ru-RU"/>
        </w:rPr>
        <w:tab/>
      </w:r>
      <w:r w:rsidRPr="000E4FBA">
        <w:rPr>
          <w:rFonts w:ascii="Times New Roman" w:hAnsi="Times New Roman"/>
          <w:sz w:val="28"/>
          <w:lang w:val="ru-RU"/>
        </w:rPr>
        <w:tab/>
      </w:r>
      <w:r w:rsidRPr="000E4FBA">
        <w:rPr>
          <w:rFonts w:ascii="Times New Roman" w:hAnsi="Times New Roman"/>
          <w:sz w:val="28"/>
          <w:lang w:val="ru-RU"/>
        </w:rPr>
        <w:tab/>
      </w:r>
      <w:r w:rsidRPr="000E4FBA">
        <w:rPr>
          <w:rFonts w:ascii="Times New Roman" w:hAnsi="Times New Roman"/>
          <w:sz w:val="28"/>
          <w:lang w:val="ru-RU"/>
        </w:rPr>
        <w:tab/>
      </w:r>
      <w:r w:rsidRPr="000E4FBA">
        <w:rPr>
          <w:rFonts w:ascii="Times New Roman" w:hAnsi="Times New Roman"/>
          <w:sz w:val="28"/>
          <w:lang w:val="ru-RU"/>
        </w:rPr>
        <w:tab/>
        <w:t xml:space="preserve">           А.В. Агафонов</w:t>
      </w:r>
    </w:p>
    <w:p w:rsidR="00401CFB" w:rsidRPr="000E4FBA" w:rsidRDefault="00401CFB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401CFB" w:rsidRPr="000E4FBA" w:rsidRDefault="00401CFB">
      <w:pPr>
        <w:widowControl/>
        <w:rPr>
          <w:lang w:val="ru-RU"/>
        </w:rPr>
        <w:sectPr w:rsidR="00401CFB" w:rsidRPr="000E4FBA">
          <w:headerReference w:type="default" r:id="rId11"/>
          <w:footerReference w:type="default" r:id="rId12"/>
          <w:pgSz w:w="11906" w:h="16838"/>
          <w:pgMar w:top="1134" w:right="567" w:bottom="1531" w:left="1701" w:header="709" w:footer="709" w:gutter="0"/>
          <w:cols w:space="720"/>
          <w:noEndnote/>
        </w:sectPr>
      </w:pPr>
    </w:p>
    <w:tbl>
      <w:tblPr>
        <w:tblW w:w="0" w:type="auto"/>
        <w:tblLayout w:type="fixed"/>
        <w:tblLook w:val="04A0"/>
      </w:tblPr>
      <w:tblGrid>
        <w:gridCol w:w="5070"/>
        <w:gridCol w:w="4536"/>
      </w:tblGrid>
      <w:tr w:rsidR="00401CF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401CFB" w:rsidRPr="000E4FBA" w:rsidRDefault="00401CFB">
            <w:pPr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401CFB" w:rsidRPr="000E4FBA" w:rsidRDefault="00401CFB">
            <w:pPr>
              <w:jc w:val="right"/>
              <w:outlineLvl w:val="1"/>
              <w:rPr>
                <w:rFonts w:ascii="Times New Roman" w:hAnsi="Times New Roman"/>
                <w:sz w:val="28"/>
                <w:lang w:val="ru-RU"/>
              </w:rPr>
            </w:pPr>
          </w:p>
          <w:p w:rsidR="00401CFB" w:rsidRPr="000E4FBA" w:rsidRDefault="00401CFB">
            <w:pPr>
              <w:jc w:val="right"/>
              <w:outlineLvl w:val="1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0E4FBA">
              <w:rPr>
                <w:rFonts w:ascii="Times New Roman" w:hAnsi="Times New Roman"/>
                <w:sz w:val="28"/>
                <w:lang w:val="ru-RU"/>
              </w:rPr>
              <w:t>Приложение 1</w:t>
            </w:r>
          </w:p>
          <w:p w:rsidR="00401CFB" w:rsidRPr="000E4FBA" w:rsidRDefault="00401CFB">
            <w:pPr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0E4FBA">
              <w:rPr>
                <w:rFonts w:ascii="Times New Roman" w:hAnsi="Times New Roman"/>
                <w:sz w:val="28"/>
                <w:lang w:val="ru-RU"/>
              </w:rPr>
              <w:t xml:space="preserve">к постановлению администрации Чайковского городского округа </w:t>
            </w:r>
          </w:p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 № ____</w:t>
            </w:r>
          </w:p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</w:p>
        </w:tc>
      </w:tr>
    </w:tbl>
    <w:p w:rsidR="00401CFB" w:rsidRDefault="00401CFB">
      <w:pPr>
        <w:jc w:val="center"/>
        <w:rPr>
          <w:rFonts w:ascii="Times New Roman" w:hAnsi="Times New Roman"/>
          <w:b/>
          <w:sz w:val="28"/>
        </w:rPr>
      </w:pPr>
      <w:bookmarkStart w:id="0" w:name="P317"/>
      <w:bookmarkEnd w:id="0"/>
      <w:r>
        <w:rPr>
          <w:rFonts w:ascii="Times New Roman" w:hAnsi="Times New Roman"/>
          <w:b/>
          <w:sz w:val="28"/>
        </w:rPr>
        <w:t>СХЕМА</w:t>
      </w:r>
    </w:p>
    <w:p w:rsidR="00401CFB" w:rsidRPr="000E4FBA" w:rsidRDefault="00401CFB">
      <w:pPr>
        <w:jc w:val="center"/>
        <w:rPr>
          <w:rFonts w:ascii="Times New Roman" w:hAnsi="Times New Roman"/>
          <w:b/>
          <w:sz w:val="28"/>
          <w:lang w:val="ru-RU"/>
        </w:rPr>
      </w:pPr>
      <w:r w:rsidRPr="000E4FBA">
        <w:rPr>
          <w:rFonts w:ascii="Times New Roman" w:hAnsi="Times New Roman"/>
          <w:b/>
          <w:sz w:val="28"/>
          <w:lang w:val="ru-RU"/>
        </w:rPr>
        <w:t>окладов (должностных окладов) работников общеотраслевых должностей специалистов, служащих</w:t>
      </w:r>
    </w:p>
    <w:p w:rsidR="00401CFB" w:rsidRPr="000E4FBA" w:rsidRDefault="00401CFB">
      <w:pPr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2148"/>
        <w:gridCol w:w="5338"/>
        <w:gridCol w:w="1487"/>
      </w:tblGrid>
      <w:tr w:rsidR="00401CFB" w:rsidRPr="000E4FBA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Квалификационные уровни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center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Размер окладов (должностных окладов), рублей </w:t>
            </w:r>
          </w:p>
        </w:tc>
      </w:tr>
      <w:tr w:rsidR="00401CFB" w:rsidRPr="000E4FBA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8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01CFB">
        <w:trPr>
          <w:trHeight w:val="868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Делопроизводитель. </w:t>
            </w:r>
          </w:p>
          <w:p w:rsidR="00401CFB" w:rsidRDefault="00401CFB">
            <w:pPr>
              <w:jc w:val="both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8 299,00</w:t>
            </w:r>
          </w:p>
        </w:tc>
      </w:tr>
      <w:tr w:rsidR="00401CFB" w:rsidRPr="000E4FBA">
        <w:trPr>
          <w:trHeight w:val="541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01CFB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pacing w:val="-4"/>
                <w:sz w:val="24"/>
                <w:lang w:val="ru-RU"/>
              </w:rPr>
              <w:t>Администратор, диспетчер, инспектор по кадрам, секретарь руководителя, техник, техник-программист.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9 390,00</w:t>
            </w:r>
          </w:p>
        </w:tc>
      </w:tr>
      <w:tr w:rsidR="00401CFB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11 381,00</w:t>
            </w:r>
          </w:p>
        </w:tc>
      </w:tr>
      <w:tr w:rsidR="00401CFB">
        <w:trPr>
          <w:trHeight w:val="868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 внутридолжностная категория.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11 619,00</w:t>
            </w:r>
          </w:p>
          <w:p w:rsidR="00401CFB" w:rsidRDefault="00401C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1CFB">
        <w:trPr>
          <w:trHeight w:val="833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rPr>
                <w:rFonts w:ascii="Times New Roman" w:hAnsi="Times New Roman"/>
                <w:sz w:val="24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Мастер участка, механик.</w:t>
            </w:r>
          </w:p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«ведущий».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11 880,00</w:t>
            </w:r>
          </w:p>
          <w:p w:rsidR="00401CFB" w:rsidRDefault="00401C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1CFB" w:rsidRPr="000E4FBA">
        <w:trPr>
          <w:trHeight w:val="528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Профессиональная квалификационная группа «Общеотраслевые должности служащих третьего уровня»</w:t>
            </w:r>
            <w:bookmarkStart w:id="1" w:name="_GoBack"/>
            <w:bookmarkEnd w:id="1"/>
          </w:p>
        </w:tc>
      </w:tr>
      <w:tr w:rsidR="00401CFB">
        <w:trPr>
          <w:trHeight w:val="657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>Документовед; инженер; инженер по инвентаризации строений и сооружений; инженер по надзору за строительством; инженер по охране труда; инженер по охране окружающей среды (эколог); инженер-программист (программист); инженер по ремонту; специалист по кадрам; юрисконсульт.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11 263,00</w:t>
            </w:r>
          </w:p>
          <w:p w:rsidR="00401CFB" w:rsidRDefault="00401CFB">
            <w:pPr>
              <w:jc w:val="center"/>
              <w:rPr>
                <w:rFonts w:ascii="Times New Roman" w:hAnsi="Times New Roman"/>
              </w:rPr>
            </w:pPr>
          </w:p>
        </w:tc>
      </w:tr>
      <w:tr w:rsidR="00401CFB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 внутридолжностная категория.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11 736,00</w:t>
            </w:r>
          </w:p>
        </w:tc>
      </w:tr>
      <w:tr w:rsidR="00401CFB"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 внутридолжностная категория.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12 211,00</w:t>
            </w:r>
          </w:p>
        </w:tc>
      </w:tr>
      <w:tr w:rsidR="00401CFB">
        <w:trPr>
          <w:trHeight w:val="760"/>
        </w:trPr>
        <w:tc>
          <w:tcPr>
            <w:tcW w:w="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w="5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jc w:val="both"/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«ведущий».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12 804,00</w:t>
            </w:r>
          </w:p>
        </w:tc>
      </w:tr>
    </w:tbl>
    <w:p w:rsidR="00401CFB" w:rsidRDefault="00401CFB">
      <w:pPr>
        <w:widowControl/>
      </w:pPr>
      <w:r>
        <w:br w:type="page"/>
      </w:r>
    </w:p>
    <w:tbl>
      <w:tblPr>
        <w:tblW w:w="0" w:type="auto"/>
        <w:tblLayout w:type="fixed"/>
        <w:tblLook w:val="04A0"/>
      </w:tblPr>
      <w:tblGrid>
        <w:gridCol w:w="4927"/>
        <w:gridCol w:w="4395"/>
        <w:gridCol w:w="1386"/>
      </w:tblGrid>
      <w:tr w:rsidR="00401CF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Pr="000E4FBA" w:rsidRDefault="00401CFB">
            <w:pPr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0E4FBA">
              <w:rPr>
                <w:rFonts w:ascii="Times New Roman" w:hAnsi="Times New Roman"/>
                <w:sz w:val="28"/>
                <w:lang w:val="ru-RU"/>
              </w:rPr>
              <w:t xml:space="preserve">Приложение 2 </w:t>
            </w:r>
          </w:p>
          <w:p w:rsidR="00401CFB" w:rsidRPr="000E4FBA" w:rsidRDefault="00401CFB">
            <w:pPr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0E4FBA">
              <w:rPr>
                <w:rFonts w:ascii="Times New Roman" w:hAnsi="Times New Roman"/>
                <w:sz w:val="28"/>
                <w:lang w:val="ru-RU"/>
              </w:rPr>
              <w:t xml:space="preserve">к постановлению администрации Чайковского городского округа </w:t>
            </w:r>
          </w:p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 № ____</w:t>
            </w:r>
          </w:p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FB" w:rsidRDefault="00401CFB">
            <w:pPr>
              <w:outlineLvl w:val="1"/>
              <w:rPr>
                <w:rFonts w:ascii="Times New Roman" w:hAnsi="Times New Roman"/>
                <w:sz w:val="28"/>
              </w:rPr>
            </w:pPr>
          </w:p>
        </w:tc>
      </w:tr>
    </w:tbl>
    <w:p w:rsidR="00401CFB" w:rsidRDefault="00401CFB">
      <w:pPr>
        <w:ind w:firstLine="720"/>
        <w:jc w:val="center"/>
        <w:rPr>
          <w:rFonts w:ascii="Times New Roman" w:hAnsi="Times New Roman"/>
          <w:b/>
          <w:sz w:val="28"/>
        </w:rPr>
      </w:pPr>
      <w:bookmarkStart w:id="2" w:name="sub_1041"/>
      <w:r>
        <w:rPr>
          <w:rFonts w:ascii="Times New Roman" w:hAnsi="Times New Roman"/>
          <w:b/>
          <w:sz w:val="28"/>
        </w:rPr>
        <w:t xml:space="preserve">СХЕМА </w:t>
      </w:r>
    </w:p>
    <w:p w:rsidR="00401CFB" w:rsidRPr="000E4FBA" w:rsidRDefault="00401CFB">
      <w:pPr>
        <w:ind w:firstLine="720"/>
        <w:jc w:val="center"/>
        <w:rPr>
          <w:rFonts w:ascii="Times New Roman" w:hAnsi="Times New Roman"/>
          <w:b/>
          <w:sz w:val="28"/>
          <w:lang w:val="ru-RU"/>
        </w:rPr>
      </w:pPr>
      <w:r w:rsidRPr="000E4FBA">
        <w:rPr>
          <w:rFonts w:ascii="Times New Roman" w:hAnsi="Times New Roman"/>
          <w:b/>
          <w:sz w:val="28"/>
          <w:lang w:val="ru-RU"/>
        </w:rPr>
        <w:t>окладов (должностных окладов) специалистов и служащих, не включенных в профессиональные квалификационные группы</w:t>
      </w:r>
    </w:p>
    <w:p w:rsidR="00401CFB" w:rsidRPr="000E4FBA" w:rsidRDefault="00401CFB">
      <w:pPr>
        <w:ind w:firstLine="720"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4253"/>
      </w:tblGrid>
      <w:tr w:rsidR="00401CFB">
        <w:trPr>
          <w:trHeight w:hRule="exact" w:val="1121"/>
          <w:tblHeader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должностного оклада, руб.</w:t>
            </w:r>
          </w:p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CFB">
        <w:trPr>
          <w:trHeight w:hRule="exact" w:val="60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9 907,00 </w:t>
            </w:r>
          </w:p>
        </w:tc>
      </w:tr>
      <w:tr w:rsidR="00401CFB">
        <w:trPr>
          <w:trHeight w:hRule="exact" w:val="60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11 263,00</w:t>
            </w:r>
          </w:p>
        </w:tc>
      </w:tr>
      <w:tr w:rsidR="00401CFB">
        <w:trPr>
          <w:trHeight w:hRule="exact" w:val="66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Инженер-сметчик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 внутридолжностной категории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11 736,00</w:t>
            </w:r>
          </w:p>
        </w:tc>
      </w:tr>
      <w:tr w:rsidR="00401CFB">
        <w:trPr>
          <w:trHeight w:hRule="exact" w:val="84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Pr="000E4FBA" w:rsidRDefault="00401CFB">
            <w:pPr>
              <w:rPr>
                <w:rFonts w:ascii="Times New Roman" w:hAnsi="Times New Roman"/>
                <w:lang w:val="ru-RU"/>
              </w:rPr>
            </w:pP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Инженер-сметчик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0E4FBA">
              <w:rPr>
                <w:rFonts w:ascii="Times New Roman" w:hAnsi="Times New Roman"/>
                <w:sz w:val="24"/>
                <w:lang w:val="ru-RU"/>
              </w:rPr>
              <w:t xml:space="preserve"> внутридолжностной категории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12 211,00</w:t>
            </w:r>
          </w:p>
        </w:tc>
      </w:tr>
      <w:tr w:rsidR="00401CFB">
        <w:trPr>
          <w:trHeight w:hRule="exact" w:val="88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инженер-сметчик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CFB" w:rsidRDefault="0040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12 804,00</w:t>
            </w:r>
            <w:bookmarkEnd w:id="2"/>
          </w:p>
        </w:tc>
      </w:tr>
    </w:tbl>
    <w:p w:rsidR="00401CFB" w:rsidRDefault="00401CFB">
      <w:pPr>
        <w:ind w:firstLine="720"/>
        <w:jc w:val="center"/>
        <w:rPr>
          <w:rFonts w:ascii="Times New Roman" w:hAnsi="Times New Roman"/>
          <w:b/>
          <w:sz w:val="28"/>
        </w:rPr>
      </w:pPr>
    </w:p>
    <w:sectPr w:rsidR="00401CFB">
      <w:pgSz w:w="11906" w:h="16838"/>
      <w:pgMar w:top="851" w:right="850" w:bottom="709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FB" w:rsidRDefault="00401CFB">
      <w:r>
        <w:separator/>
      </w:r>
    </w:p>
  </w:endnote>
  <w:endnote w:type="continuationSeparator" w:id="0">
    <w:p w:rsidR="00401CFB" w:rsidRDefault="0040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FB" w:rsidRDefault="00401CFB">
    <w:pPr>
      <w:pStyle w:val="HeaderandFooter"/>
      <w:widowControl/>
      <w:rPr>
        <w:sz w:val="24"/>
      </w:rPr>
    </w:pPr>
    <w:r>
      <w:rPr>
        <w:sz w:val="24"/>
      </w:rP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FB" w:rsidRDefault="00401CFB">
      <w:r>
        <w:separator/>
      </w:r>
    </w:p>
  </w:footnote>
  <w:footnote w:type="continuationSeparator" w:id="0">
    <w:p w:rsidR="00401CFB" w:rsidRDefault="00401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BA" w:rsidRPr="000E4FBA" w:rsidRDefault="000E4FBA" w:rsidP="000E4FBA">
    <w:pPr>
      <w:pStyle w:val="ab"/>
      <w:jc w:val="center"/>
      <w:rPr>
        <w:lang w:val="ru-RU"/>
      </w:rPr>
    </w:pPr>
    <w:r w:rsidRPr="000E4FBA">
      <w:rPr>
        <w:lang w:val="ru-RU"/>
      </w:rPr>
      <w:t xml:space="preserve">Проект размещен на сайте 07.10.2024 Срок  приема заключений независимых экспертов до 16.10.2024 на электронный адрес </w:t>
    </w:r>
    <w:r w:rsidRPr="000E4FBA">
      <w:t>ud</w:t>
    </w:r>
    <w:r w:rsidRPr="000E4FBA">
      <w:rPr>
        <w:lang w:val="ru-RU"/>
      </w:rPr>
      <w:t>-</w:t>
    </w:r>
    <w:r w:rsidRPr="000E4FBA">
      <w:t>mnpa</w:t>
    </w:r>
    <w:r w:rsidRPr="000E4FBA">
      <w:rPr>
        <w:lang w:val="ru-RU"/>
      </w:rPr>
      <w:t>@</w:t>
    </w:r>
    <w:r w:rsidRPr="000E4FBA">
      <w:t>chaykovsky</w:t>
    </w:r>
    <w:r w:rsidRPr="000E4FBA">
      <w:rPr>
        <w:lang w:val="ru-RU"/>
      </w:rPr>
      <w:t>.</w:t>
    </w:r>
    <w:r w:rsidRPr="000E4FBA">
      <w:t>permkrai</w:t>
    </w:r>
    <w:r w:rsidRPr="000E4FBA">
      <w:rPr>
        <w:lang w:val="ru-RU"/>
      </w:rPr>
      <w:t>.</w:t>
    </w:r>
    <w:r w:rsidRPr="000E4FBA">
      <w:t>ru</w:t>
    </w:r>
  </w:p>
  <w:p w:rsidR="000E4FBA" w:rsidRPr="000E4FBA" w:rsidRDefault="000E4FBA">
    <w:pPr>
      <w:pStyle w:val="ab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A2"/>
    <w:rsid w:val="000E4FBA"/>
    <w:rsid w:val="003B1DA2"/>
    <w:rsid w:val="00401CFB"/>
    <w:rsid w:val="00BC329A"/>
    <w:rsid w:val="00D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Endnote0">
    <w:name w:val="Endnote_0"/>
    <w:link w:val="Endnote"/>
    <w:locked/>
    <w:rPr>
      <w:rFonts w:ascii="XO Thames" w:hAnsi="XO Thames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locked/>
    <w:rPr>
      <w:rFonts w:ascii="XO Thames" w:hAnsi="XO Thames"/>
      <w:sz w:val="22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locked/>
    <w:rPr>
      <w:rFonts w:ascii="XO Thames" w:hAnsi="XO Thames"/>
      <w:sz w:val="28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table" w:styleId="aa">
    <w:name w:val="Table Grid"/>
    <w:basedOn w:val="a1"/>
    <w:uiPriority w:val="59"/>
    <w:pPr>
      <w:widowControl w:val="0"/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4F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4FBA"/>
    <w:rPr>
      <w:rFonts w:cs="Calibri"/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0E4F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E4FBA"/>
    <w:rPr>
      <w:rFonts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6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254;fld=134;dst=65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17671;fld=134;dst=100651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7254;fld=134;dst=1009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2024-10-07T11:28:00Z</dcterms:created>
  <dcterms:modified xsi:type="dcterms:W3CDTF">2024-10-07T11:28:00Z</dcterms:modified>
</cp:coreProperties>
</file>