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46037</wp:posOffset>
                </wp:positionH>
                <wp:positionV relativeFrom="page">
                  <wp:posOffset>3352799</wp:posOffset>
                </wp:positionV>
                <wp:extent cx="2495550" cy="1590675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495550" cy="159067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000000">
                            <w:pPr>
                              <w:spacing w:line="240" w:lineRule="exact"/>
                              <w:ind/>
                              <w:jc w:val="both"/>
                              <w:rPr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b w:val="1"/>
                                <w:sz w:val="28"/>
                              </w:rPr>
                              <w:t xml:space="preserve">О внесении изменений в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Положение о системе оплаты труда и стимулировании работников муниципального казенного учреждения «Жилкомэнергосервис»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, утвержденное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постановлением  администрации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Чайковского городского округа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от 2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февраля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202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3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 xml:space="preserve"> г. № </w:t>
                            </w:r>
                            <w:r>
                              <w:rPr>
                                <w:b w:val="1"/>
                                <w:sz w:val="28"/>
                              </w:rPr>
                              <w:t>154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-31750</wp:posOffset>
                </wp:positionH>
                <wp:positionV relativeFrom="paragraph">
                  <wp:posOffset>1936115</wp:posOffset>
                </wp:positionV>
                <wp:extent cx="2329180" cy="323215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329180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5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4078605</wp:posOffset>
                </wp:positionH>
                <wp:positionV relativeFrom="paragraph">
                  <wp:posOffset>1936115</wp:posOffset>
                </wp:positionV>
                <wp:extent cx="1839595" cy="32321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39595" cy="32321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drawing>
          <wp:inline>
            <wp:extent cx="5935980" cy="2392680"/>
            <wp:effectExtent b="0" l="0" r="0" t="0"/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935980" cy="23926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/>
    <w:p w14:paraId="08000000"/>
    <w:p w14:paraId="09000000">
      <w:pPr>
        <w:spacing w:line="360" w:lineRule="exact"/>
        <w:ind w:firstLine="709" w:left="0"/>
        <w:jc w:val="both"/>
        <w:rPr>
          <w:sz w:val="28"/>
        </w:rPr>
      </w:pPr>
    </w:p>
    <w:p w14:paraId="0A000000">
      <w:pPr>
        <w:spacing w:line="360" w:lineRule="exact"/>
        <w:ind/>
        <w:jc w:val="both"/>
        <w:rPr>
          <w:sz w:val="28"/>
        </w:rPr>
      </w:pPr>
    </w:p>
    <w:p w14:paraId="0B000000">
      <w:pPr>
        <w:ind/>
        <w:jc w:val="both"/>
        <w:rPr>
          <w:sz w:val="28"/>
        </w:rPr>
      </w:pPr>
    </w:p>
    <w:p w14:paraId="0C000000">
      <w:pPr>
        <w:ind w:firstLine="709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sz w:val="28"/>
        </w:rPr>
      </w:pPr>
    </w:p>
    <w:p w14:paraId="0F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</w:p>
    <w:p w14:paraId="10000000">
      <w:pPr>
        <w:pStyle w:val="Style_3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Устава Чайковского городского округа, в соответствии с решением Чайковской городской Думы от 19 декабря 2018 г. № 96 «Об оплате труда работников муниципальных учреждений Чайковского городского округа», решением Думы Чайковского городского округа от 22 ноября 2023 г. № 24 «О бюджете Чайковского городского округа на 2024 год и на плановый период 2025 и 2026 годов», </w:t>
      </w:r>
      <w:r>
        <w:rPr>
          <w:rFonts w:ascii="Times New Roman" w:hAnsi="Times New Roman"/>
          <w:sz w:val="28"/>
        </w:rPr>
        <w:t xml:space="preserve">в целях урегулирования </w:t>
      </w:r>
      <w:r>
        <w:rPr>
          <w:rFonts w:ascii="Times New Roman" w:hAnsi="Times New Roman"/>
          <w:sz w:val="28"/>
        </w:rPr>
        <w:t>оплаты труда в муниципальном казенном учреждении «Жилкомэнергосервис»</w:t>
      </w:r>
    </w:p>
    <w:p w14:paraId="11000000">
      <w:pPr>
        <w:spacing w:line="360" w:lineRule="exact"/>
        <w:ind w:firstLine="709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12000000">
      <w:pPr>
        <w:ind w:firstLine="708" w:left="0"/>
        <w:jc w:val="both"/>
        <w:rPr>
          <w:sz w:val="28"/>
        </w:rPr>
      </w:pPr>
      <w:r>
        <w:rPr>
          <w:sz w:val="28"/>
        </w:rPr>
        <w:t>1. Внести в</w:t>
      </w:r>
      <w:r>
        <w:rPr>
          <w:sz w:val="28"/>
        </w:rPr>
        <w:t xml:space="preserve"> </w:t>
      </w:r>
      <w:r>
        <w:rPr>
          <w:sz w:val="28"/>
        </w:rPr>
        <w:t>Положени</w:t>
      </w:r>
      <w:r>
        <w:rPr>
          <w:sz w:val="28"/>
        </w:rPr>
        <w:t>е</w:t>
      </w:r>
      <w:r>
        <w:rPr>
          <w:sz w:val="28"/>
        </w:rPr>
        <w:t xml:space="preserve"> о системе оплаты труда и стимулировании работников муниципального казенного учреждения «Жилкомэнергосервис», утвержденн</w:t>
      </w:r>
      <w:r>
        <w:rPr>
          <w:sz w:val="28"/>
        </w:rPr>
        <w:t>о</w:t>
      </w:r>
      <w:r>
        <w:rPr>
          <w:sz w:val="28"/>
        </w:rPr>
        <w:t>е</w:t>
      </w:r>
      <w:r>
        <w:rPr>
          <w:sz w:val="28"/>
        </w:rPr>
        <w:t xml:space="preserve"> постановлением администрации Чайковского городского округа от </w:t>
      </w:r>
      <w:r>
        <w:rPr>
          <w:sz w:val="28"/>
        </w:rPr>
        <w:t>22 февраля 2023</w:t>
      </w:r>
      <w:r>
        <w:rPr>
          <w:sz w:val="28"/>
        </w:rPr>
        <w:t xml:space="preserve"> г</w:t>
      </w:r>
      <w:r>
        <w:rPr>
          <w:sz w:val="28"/>
        </w:rPr>
        <w:t>.</w:t>
      </w:r>
      <w:r>
        <w:rPr>
          <w:sz w:val="28"/>
        </w:rPr>
        <w:t xml:space="preserve"> № </w:t>
      </w:r>
      <w:r>
        <w:rPr>
          <w:sz w:val="28"/>
        </w:rPr>
        <w:t>154</w:t>
      </w:r>
      <w:r>
        <w:rPr>
          <w:sz w:val="28"/>
        </w:rPr>
        <w:t xml:space="preserve"> (далее – Положение)</w:t>
      </w:r>
      <w:r>
        <w:rPr>
          <w:sz w:val="28"/>
        </w:rPr>
        <w:t xml:space="preserve"> (в редакции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17.04</w:t>
      </w:r>
      <w:r>
        <w:rPr>
          <w:sz w:val="28"/>
        </w:rPr>
        <w:t>.202</w:t>
      </w:r>
      <w:r>
        <w:rPr>
          <w:sz w:val="28"/>
        </w:rPr>
        <w:t>3              № 359</w:t>
      </w:r>
      <w:r>
        <w:rPr>
          <w:sz w:val="28"/>
        </w:rPr>
        <w:t>, от 06.07.2023 № 663</w:t>
      </w:r>
      <w:r>
        <w:rPr>
          <w:sz w:val="28"/>
        </w:rPr>
        <w:t>, от 28.09.2023 № 952</w:t>
      </w:r>
      <w:r>
        <w:rPr>
          <w:sz w:val="28"/>
        </w:rPr>
        <w:t xml:space="preserve">, от </w:t>
      </w:r>
      <w:r>
        <w:rPr>
          <w:sz w:val="28"/>
        </w:rPr>
        <w:t>19</w:t>
      </w:r>
      <w:r>
        <w:rPr>
          <w:sz w:val="28"/>
        </w:rPr>
        <w:t xml:space="preserve">.02.2024 № </w:t>
      </w:r>
      <w:r>
        <w:rPr>
          <w:sz w:val="28"/>
        </w:rPr>
        <w:t>154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от 25.04.2024 № 395</w:t>
      </w:r>
      <w:r>
        <w:rPr>
          <w:sz w:val="28"/>
        </w:rPr>
        <w:t>)</w:t>
      </w:r>
      <w:r>
        <w:rPr>
          <w:sz w:val="28"/>
        </w:rPr>
        <w:t>, следующие изменения:</w:t>
      </w:r>
    </w:p>
    <w:p w14:paraId="13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1.1.</w:t>
      </w:r>
      <w:r>
        <w:rPr>
          <w:sz w:val="28"/>
        </w:rPr>
        <w:t xml:space="preserve"> </w:t>
      </w:r>
      <w:r>
        <w:rPr>
          <w:sz w:val="28"/>
        </w:rPr>
        <w:t xml:space="preserve">приложение </w:t>
      </w:r>
      <w:r>
        <w:rPr>
          <w:sz w:val="28"/>
        </w:rPr>
        <w:t>1</w:t>
      </w:r>
      <w:r>
        <w:rPr>
          <w:sz w:val="28"/>
        </w:rPr>
        <w:t xml:space="preserve"> к Положению изложить в новой редакции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</w:t>
      </w:r>
      <w:r>
        <w:rPr>
          <w:sz w:val="28"/>
        </w:rPr>
        <w:t>1</w:t>
      </w:r>
      <w:r>
        <w:rPr>
          <w:sz w:val="28"/>
        </w:rPr>
        <w:t xml:space="preserve"> к настоящему постановлению.</w:t>
      </w:r>
    </w:p>
    <w:p w14:paraId="14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1.2. приложение </w:t>
      </w:r>
      <w:r>
        <w:rPr>
          <w:sz w:val="28"/>
        </w:rPr>
        <w:t>2</w:t>
      </w:r>
      <w:r>
        <w:rPr>
          <w:sz w:val="28"/>
        </w:rPr>
        <w:t xml:space="preserve"> к Положению изложить в новой редакции</w:t>
      </w:r>
      <w:r>
        <w:rPr>
          <w:sz w:val="28"/>
        </w:rPr>
        <w:t xml:space="preserve"> </w:t>
      </w:r>
      <w:r>
        <w:rPr>
          <w:sz w:val="28"/>
        </w:rPr>
        <w:t>согласно приложению 2 к настоящему постановлению.</w:t>
      </w:r>
    </w:p>
    <w:p w14:paraId="15000000">
      <w:pPr>
        <w:widowControl w:val="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1.3. приложение </w:t>
      </w:r>
      <w:r>
        <w:rPr>
          <w:sz w:val="28"/>
        </w:rPr>
        <w:t>4</w:t>
      </w:r>
      <w:r>
        <w:rPr>
          <w:sz w:val="28"/>
        </w:rPr>
        <w:t xml:space="preserve"> к Положению изложить в новой редакции</w:t>
      </w:r>
      <w:r>
        <w:rPr>
          <w:sz w:val="28"/>
        </w:rPr>
        <w:t xml:space="preserve"> </w:t>
      </w:r>
      <w:r>
        <w:rPr>
          <w:sz w:val="28"/>
        </w:rPr>
        <w:t>согласно приложению 3 к настоящему постановлению.</w:t>
      </w:r>
    </w:p>
    <w:p w14:paraId="16000000">
      <w:pPr>
        <w:pStyle w:val="Style_4"/>
        <w:widowControl w:val="0"/>
        <w:ind w:firstLine="709" w:left="0"/>
        <w:jc w:val="both"/>
      </w:pPr>
      <w:r>
        <w:t xml:space="preserve">2. Опубликовать </w:t>
      </w:r>
      <w:r>
        <w:t>п</w:t>
      </w:r>
      <w:r>
        <w:t>остановление в газете «Огни Камы» и разместить на официальном сайте администрации Чайковского городского округа.</w:t>
      </w:r>
    </w:p>
    <w:p w14:paraId="17000000">
      <w:pPr>
        <w:pStyle w:val="Style_4"/>
        <w:widowControl w:val="0"/>
        <w:ind w:firstLine="709" w:left="0"/>
        <w:jc w:val="both"/>
      </w:pPr>
      <w:r>
        <w:t xml:space="preserve">3. </w:t>
      </w:r>
      <w:r>
        <w:t xml:space="preserve">Постановление вступает в силу после его официального опубликования и распространяется </w:t>
      </w:r>
      <w:r>
        <w:t xml:space="preserve">на правоотношения, возникшие с </w:t>
      </w:r>
      <w:r>
        <w:t>1</w:t>
      </w:r>
      <w:r>
        <w:t xml:space="preserve"> </w:t>
      </w:r>
      <w:r>
        <w:t>октября</w:t>
      </w:r>
      <w:r>
        <w:t xml:space="preserve"> </w:t>
      </w:r>
      <w:r>
        <w:t>202</w:t>
      </w:r>
      <w:r>
        <w:t>4</w:t>
      </w:r>
      <w:r>
        <w:t xml:space="preserve"> г.</w:t>
      </w:r>
    </w:p>
    <w:p w14:paraId="18000000">
      <w:pPr>
        <w:keepLines w:val="1"/>
        <w:spacing w:line="192" w:lineRule="auto"/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</w:p>
    <w:p w14:paraId="1A000000">
      <w:pPr>
        <w:ind/>
        <w:jc w:val="both"/>
        <w:rPr>
          <w:sz w:val="28"/>
        </w:rPr>
      </w:pPr>
    </w:p>
    <w:p w14:paraId="1B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Глава городского округа – </w:t>
      </w:r>
    </w:p>
    <w:p w14:paraId="1C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администрации</w:t>
      </w:r>
    </w:p>
    <w:p w14:paraId="1D000000">
      <w:pPr>
        <w:spacing w:line="240" w:lineRule="exact"/>
        <w:ind/>
        <w:outlineLvl w:val="0"/>
        <w:rPr>
          <w:sz w:val="28"/>
        </w:rPr>
      </w:pPr>
      <w:r>
        <w:rPr>
          <w:sz w:val="28"/>
        </w:rPr>
        <w:t xml:space="preserve">Чайковского городского округа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</w:t>
      </w:r>
      <w:r>
        <w:rPr>
          <w:sz w:val="28"/>
        </w:rPr>
        <w:t>А.В. Агафонов</w:t>
      </w:r>
    </w:p>
    <w:p w14:paraId="1E000000">
      <w:pPr>
        <w:keepLines w:val="1"/>
        <w:spacing w:line="192" w:lineRule="auto"/>
        <w:ind/>
        <w:jc w:val="both"/>
        <w:rPr>
          <w:sz w:val="28"/>
        </w:rPr>
      </w:pPr>
    </w:p>
    <w:p w14:paraId="1F000000">
      <w:pPr>
        <w:keepLines w:val="1"/>
        <w:spacing w:line="192" w:lineRule="auto"/>
        <w:ind/>
        <w:jc w:val="both"/>
        <w:rPr>
          <w:sz w:val="28"/>
        </w:rPr>
      </w:pPr>
    </w:p>
    <w:p w14:paraId="20000000">
      <w:pPr>
        <w:keepLines w:val="1"/>
        <w:spacing w:line="192" w:lineRule="auto"/>
        <w:ind/>
        <w:jc w:val="both"/>
        <w:rPr>
          <w:sz w:val="28"/>
        </w:rPr>
      </w:pPr>
    </w:p>
    <w:p w14:paraId="21000000">
      <w:pPr>
        <w:keepLines w:val="1"/>
        <w:spacing w:line="192" w:lineRule="auto"/>
        <w:ind/>
        <w:jc w:val="both"/>
        <w:rPr>
          <w:sz w:val="28"/>
        </w:rPr>
      </w:pPr>
    </w:p>
    <w:p w14:paraId="22000000">
      <w:pPr>
        <w:keepLines w:val="1"/>
        <w:spacing w:line="192" w:lineRule="auto"/>
        <w:ind/>
        <w:jc w:val="both"/>
        <w:rPr>
          <w:sz w:val="28"/>
        </w:rPr>
      </w:pPr>
    </w:p>
    <w:p w14:paraId="23000000">
      <w:pPr>
        <w:keepLines w:val="1"/>
        <w:spacing w:line="192" w:lineRule="auto"/>
        <w:ind/>
        <w:jc w:val="both"/>
        <w:rPr>
          <w:sz w:val="28"/>
        </w:rPr>
      </w:pPr>
    </w:p>
    <w:p w14:paraId="24000000">
      <w:pPr>
        <w:keepLines w:val="1"/>
        <w:spacing w:line="192" w:lineRule="auto"/>
        <w:ind/>
        <w:jc w:val="both"/>
        <w:rPr>
          <w:sz w:val="28"/>
        </w:rPr>
      </w:pPr>
    </w:p>
    <w:p w14:paraId="25000000">
      <w:pPr>
        <w:keepLines w:val="1"/>
        <w:spacing w:line="192" w:lineRule="auto"/>
        <w:ind/>
        <w:jc w:val="both"/>
        <w:rPr>
          <w:sz w:val="28"/>
        </w:rPr>
      </w:pPr>
    </w:p>
    <w:p w14:paraId="26000000">
      <w:pPr>
        <w:keepLines w:val="1"/>
        <w:spacing w:line="192" w:lineRule="auto"/>
        <w:ind/>
        <w:jc w:val="both"/>
        <w:rPr>
          <w:sz w:val="28"/>
        </w:rPr>
      </w:pPr>
    </w:p>
    <w:p w14:paraId="27000000">
      <w:pPr>
        <w:keepLines w:val="1"/>
        <w:spacing w:line="192" w:lineRule="auto"/>
        <w:ind/>
        <w:jc w:val="both"/>
        <w:rPr>
          <w:sz w:val="28"/>
        </w:rPr>
      </w:pPr>
    </w:p>
    <w:p w14:paraId="28000000">
      <w:pPr>
        <w:keepLines w:val="1"/>
        <w:spacing w:line="192" w:lineRule="auto"/>
        <w:ind/>
        <w:jc w:val="both"/>
        <w:rPr>
          <w:sz w:val="28"/>
        </w:rPr>
      </w:pPr>
    </w:p>
    <w:p w14:paraId="29000000">
      <w:pPr>
        <w:keepLines w:val="1"/>
        <w:spacing w:line="192" w:lineRule="auto"/>
        <w:ind/>
        <w:jc w:val="both"/>
        <w:rPr>
          <w:sz w:val="28"/>
        </w:rPr>
      </w:pPr>
    </w:p>
    <w:p w14:paraId="2A000000">
      <w:pPr>
        <w:keepLines w:val="1"/>
        <w:spacing w:line="192" w:lineRule="auto"/>
        <w:ind/>
        <w:jc w:val="both"/>
        <w:rPr>
          <w:sz w:val="28"/>
        </w:rPr>
      </w:pPr>
    </w:p>
    <w:p w14:paraId="2B000000">
      <w:pPr>
        <w:keepLines w:val="1"/>
        <w:spacing w:line="192" w:lineRule="auto"/>
        <w:ind/>
        <w:jc w:val="both"/>
        <w:rPr>
          <w:sz w:val="28"/>
        </w:rPr>
      </w:pPr>
    </w:p>
    <w:p w14:paraId="2C000000">
      <w:pPr>
        <w:keepLines w:val="1"/>
        <w:spacing w:line="192" w:lineRule="auto"/>
        <w:ind/>
        <w:jc w:val="both"/>
        <w:rPr>
          <w:sz w:val="28"/>
        </w:rPr>
      </w:pPr>
    </w:p>
    <w:p w14:paraId="2D000000">
      <w:pPr>
        <w:keepLines w:val="1"/>
        <w:spacing w:line="192" w:lineRule="auto"/>
        <w:ind/>
        <w:jc w:val="both"/>
        <w:rPr>
          <w:sz w:val="28"/>
        </w:rPr>
      </w:pPr>
    </w:p>
    <w:p w14:paraId="2E000000">
      <w:pPr>
        <w:keepLines w:val="1"/>
        <w:spacing w:line="192" w:lineRule="auto"/>
        <w:ind/>
        <w:jc w:val="both"/>
        <w:rPr>
          <w:sz w:val="28"/>
        </w:rPr>
      </w:pPr>
    </w:p>
    <w:p w14:paraId="2F000000">
      <w:pPr>
        <w:keepLines w:val="1"/>
        <w:spacing w:line="192" w:lineRule="auto"/>
        <w:ind/>
        <w:jc w:val="both"/>
        <w:rPr>
          <w:sz w:val="28"/>
        </w:rPr>
      </w:pPr>
    </w:p>
    <w:p w14:paraId="30000000">
      <w:pPr>
        <w:keepLines w:val="1"/>
        <w:spacing w:line="192" w:lineRule="auto"/>
        <w:ind/>
        <w:jc w:val="both"/>
        <w:rPr>
          <w:sz w:val="28"/>
        </w:rPr>
      </w:pPr>
    </w:p>
    <w:p w14:paraId="31000000">
      <w:pPr>
        <w:keepLines w:val="1"/>
        <w:spacing w:line="192" w:lineRule="auto"/>
        <w:ind/>
        <w:jc w:val="both"/>
        <w:rPr>
          <w:sz w:val="28"/>
        </w:rPr>
      </w:pPr>
    </w:p>
    <w:p w14:paraId="32000000">
      <w:pPr>
        <w:keepLines w:val="1"/>
        <w:spacing w:line="192" w:lineRule="auto"/>
        <w:ind/>
        <w:jc w:val="both"/>
        <w:rPr>
          <w:sz w:val="28"/>
        </w:rPr>
      </w:pPr>
    </w:p>
    <w:p w14:paraId="33000000">
      <w:pPr>
        <w:keepLines w:val="1"/>
        <w:spacing w:line="192" w:lineRule="auto"/>
        <w:ind/>
        <w:jc w:val="both"/>
        <w:rPr>
          <w:sz w:val="28"/>
        </w:rPr>
      </w:pPr>
    </w:p>
    <w:p w14:paraId="34000000">
      <w:pPr>
        <w:keepLines w:val="1"/>
        <w:spacing w:line="192" w:lineRule="auto"/>
        <w:ind/>
        <w:jc w:val="both"/>
        <w:rPr>
          <w:sz w:val="28"/>
        </w:rPr>
      </w:pPr>
    </w:p>
    <w:p w14:paraId="35000000">
      <w:pPr>
        <w:keepLines w:val="1"/>
        <w:spacing w:line="192" w:lineRule="auto"/>
        <w:ind/>
        <w:jc w:val="both"/>
        <w:rPr>
          <w:sz w:val="28"/>
        </w:rPr>
      </w:pPr>
    </w:p>
    <w:p w14:paraId="36000000">
      <w:pPr>
        <w:keepLines w:val="1"/>
        <w:spacing w:line="192" w:lineRule="auto"/>
        <w:ind/>
        <w:jc w:val="both"/>
        <w:rPr>
          <w:sz w:val="28"/>
        </w:rPr>
      </w:pPr>
    </w:p>
    <w:p w14:paraId="37000000">
      <w:pPr>
        <w:keepLines w:val="1"/>
        <w:spacing w:line="192" w:lineRule="auto"/>
        <w:ind/>
        <w:jc w:val="both"/>
        <w:rPr>
          <w:sz w:val="28"/>
        </w:rPr>
      </w:pPr>
    </w:p>
    <w:p w14:paraId="38000000">
      <w:pPr>
        <w:keepLines w:val="1"/>
        <w:spacing w:line="192" w:lineRule="auto"/>
        <w:ind/>
        <w:jc w:val="both"/>
        <w:rPr>
          <w:sz w:val="28"/>
        </w:rPr>
      </w:pPr>
    </w:p>
    <w:p w14:paraId="39000000">
      <w:pPr>
        <w:keepLines w:val="1"/>
        <w:spacing w:line="192" w:lineRule="auto"/>
        <w:ind/>
        <w:jc w:val="both"/>
        <w:rPr>
          <w:sz w:val="28"/>
        </w:rPr>
      </w:pPr>
    </w:p>
    <w:p w14:paraId="3A000000">
      <w:pPr>
        <w:keepLines w:val="1"/>
        <w:spacing w:line="192" w:lineRule="auto"/>
        <w:ind/>
        <w:jc w:val="both"/>
        <w:rPr>
          <w:sz w:val="28"/>
        </w:rPr>
      </w:pPr>
    </w:p>
    <w:p w14:paraId="3B000000">
      <w:pPr>
        <w:keepLines w:val="1"/>
        <w:spacing w:line="192" w:lineRule="auto"/>
        <w:ind/>
        <w:jc w:val="both"/>
        <w:rPr>
          <w:sz w:val="28"/>
        </w:rPr>
      </w:pPr>
    </w:p>
    <w:p w14:paraId="3C000000">
      <w:pPr>
        <w:keepLines w:val="1"/>
        <w:spacing w:line="192" w:lineRule="auto"/>
        <w:ind/>
        <w:jc w:val="both"/>
        <w:rPr>
          <w:sz w:val="28"/>
        </w:rPr>
      </w:pPr>
    </w:p>
    <w:p w14:paraId="3D000000">
      <w:pPr>
        <w:keepLines w:val="1"/>
        <w:spacing w:line="192" w:lineRule="auto"/>
        <w:ind/>
        <w:jc w:val="both"/>
        <w:rPr>
          <w:sz w:val="28"/>
        </w:rPr>
      </w:pPr>
    </w:p>
    <w:p w14:paraId="3E000000">
      <w:pPr>
        <w:keepLines w:val="1"/>
        <w:spacing w:line="192" w:lineRule="auto"/>
        <w:ind/>
        <w:jc w:val="both"/>
        <w:rPr>
          <w:sz w:val="28"/>
        </w:rPr>
      </w:pPr>
    </w:p>
    <w:p w14:paraId="3F000000">
      <w:pPr>
        <w:keepLines w:val="1"/>
        <w:spacing w:line="192" w:lineRule="auto"/>
        <w:ind/>
        <w:jc w:val="both"/>
        <w:rPr>
          <w:sz w:val="28"/>
        </w:rPr>
      </w:pPr>
    </w:p>
    <w:p w14:paraId="40000000">
      <w:pPr>
        <w:keepLines w:val="1"/>
        <w:spacing w:line="192" w:lineRule="auto"/>
        <w:ind/>
        <w:jc w:val="both"/>
        <w:rPr>
          <w:sz w:val="28"/>
        </w:rPr>
      </w:pPr>
    </w:p>
    <w:p w14:paraId="41000000">
      <w:pPr>
        <w:keepLines w:val="1"/>
        <w:spacing w:line="192" w:lineRule="auto"/>
        <w:ind/>
        <w:jc w:val="both"/>
        <w:rPr>
          <w:sz w:val="28"/>
        </w:rPr>
      </w:pPr>
    </w:p>
    <w:p w14:paraId="42000000">
      <w:pPr>
        <w:keepLines w:val="1"/>
        <w:spacing w:line="192" w:lineRule="auto"/>
        <w:ind/>
        <w:jc w:val="both"/>
        <w:rPr>
          <w:sz w:val="28"/>
        </w:rPr>
      </w:pPr>
    </w:p>
    <w:p w14:paraId="43000000">
      <w:pPr>
        <w:keepLines w:val="1"/>
        <w:spacing w:line="192" w:lineRule="auto"/>
        <w:ind/>
        <w:jc w:val="both"/>
        <w:rPr>
          <w:sz w:val="28"/>
        </w:rPr>
      </w:pPr>
    </w:p>
    <w:p w14:paraId="44000000">
      <w:pPr>
        <w:keepLines w:val="1"/>
        <w:spacing w:line="192" w:lineRule="auto"/>
        <w:ind/>
        <w:jc w:val="both"/>
        <w:rPr>
          <w:sz w:val="28"/>
        </w:rPr>
      </w:pPr>
    </w:p>
    <w:p w14:paraId="45000000">
      <w:pPr>
        <w:keepLines w:val="1"/>
        <w:spacing w:line="192" w:lineRule="auto"/>
        <w:ind/>
        <w:jc w:val="both"/>
        <w:rPr>
          <w:sz w:val="28"/>
        </w:rPr>
      </w:pPr>
    </w:p>
    <w:p w14:paraId="46000000">
      <w:pPr>
        <w:keepLines w:val="1"/>
        <w:spacing w:line="192" w:lineRule="auto"/>
        <w:ind/>
        <w:jc w:val="both"/>
        <w:rPr>
          <w:sz w:val="28"/>
        </w:rPr>
      </w:pPr>
    </w:p>
    <w:p w14:paraId="47000000">
      <w:pPr>
        <w:keepLines w:val="1"/>
        <w:spacing w:line="192" w:lineRule="auto"/>
        <w:ind/>
        <w:jc w:val="both"/>
        <w:rPr>
          <w:sz w:val="28"/>
        </w:rPr>
      </w:pPr>
    </w:p>
    <w:p w14:paraId="48000000">
      <w:pPr>
        <w:keepLines w:val="1"/>
        <w:spacing w:line="192" w:lineRule="auto"/>
        <w:ind/>
        <w:jc w:val="both"/>
        <w:rPr>
          <w:sz w:val="28"/>
        </w:rPr>
      </w:pPr>
    </w:p>
    <w:p w14:paraId="49000000">
      <w:pPr>
        <w:keepLines w:val="1"/>
        <w:spacing w:line="192" w:lineRule="auto"/>
        <w:ind/>
        <w:jc w:val="both"/>
        <w:rPr>
          <w:sz w:val="28"/>
        </w:rPr>
      </w:pPr>
    </w:p>
    <w:p w14:paraId="4A000000">
      <w:pPr>
        <w:keepLines w:val="1"/>
        <w:spacing w:line="192" w:lineRule="auto"/>
        <w:ind/>
        <w:jc w:val="both"/>
        <w:rPr>
          <w:sz w:val="28"/>
        </w:rPr>
      </w:pPr>
    </w:p>
    <w:p w14:paraId="4B000000">
      <w:pPr>
        <w:keepLines w:val="1"/>
        <w:spacing w:line="192" w:lineRule="auto"/>
        <w:ind/>
        <w:jc w:val="both"/>
        <w:rPr>
          <w:sz w:val="28"/>
        </w:rPr>
      </w:pPr>
    </w:p>
    <w:p w14:paraId="4C000000">
      <w:pPr>
        <w:keepLines w:val="1"/>
        <w:spacing w:line="192" w:lineRule="auto"/>
        <w:ind/>
        <w:jc w:val="both"/>
        <w:rPr>
          <w:sz w:val="28"/>
        </w:rPr>
      </w:pPr>
    </w:p>
    <w:p w14:paraId="4D000000">
      <w:pPr>
        <w:keepLines w:val="1"/>
        <w:spacing w:line="192" w:lineRule="auto"/>
        <w:ind/>
        <w:jc w:val="both"/>
        <w:rPr>
          <w:sz w:val="28"/>
        </w:rPr>
      </w:pPr>
    </w:p>
    <w:p w14:paraId="4E000000">
      <w:pPr>
        <w:keepLines w:val="1"/>
        <w:spacing w:line="192" w:lineRule="auto"/>
        <w:ind/>
        <w:jc w:val="both"/>
        <w:rPr>
          <w:sz w:val="28"/>
        </w:rPr>
      </w:pPr>
    </w:p>
    <w:p w14:paraId="4F000000">
      <w:pPr>
        <w:keepLines w:val="1"/>
        <w:spacing w:line="192" w:lineRule="auto"/>
        <w:ind/>
        <w:jc w:val="both"/>
        <w:rPr>
          <w:sz w:val="28"/>
        </w:rPr>
      </w:pPr>
    </w:p>
    <w:p w14:paraId="50000000">
      <w:pPr>
        <w:ind w:firstLine="0" w:left="5670"/>
        <w:rPr>
          <w:sz w:val="28"/>
        </w:rPr>
      </w:pPr>
      <w:r>
        <w:rPr>
          <w:sz w:val="28"/>
        </w:rPr>
        <w:t xml:space="preserve">Приложение 1 </w:t>
      </w:r>
    </w:p>
    <w:p w14:paraId="51000000">
      <w:pPr>
        <w:ind w:firstLine="0" w:left="5670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14:paraId="52000000">
      <w:pPr>
        <w:ind w:firstLine="0" w:left="5670"/>
        <w:rPr>
          <w:sz w:val="28"/>
        </w:rPr>
      </w:pPr>
      <w:r>
        <w:rPr>
          <w:sz w:val="28"/>
        </w:rPr>
        <w:t>от ____________№________</w:t>
      </w:r>
    </w:p>
    <w:p w14:paraId="53000000">
      <w:pPr>
        <w:tabs>
          <w:tab w:leader="none" w:pos="1185" w:val="left"/>
        </w:tabs>
        <w:ind w:firstLine="709" w:left="360"/>
        <w:jc w:val="both"/>
        <w:rPr>
          <w:sz w:val="28"/>
        </w:rPr>
      </w:pPr>
    </w:p>
    <w:p w14:paraId="54000000">
      <w:pPr>
        <w:tabs>
          <w:tab w:leader="none" w:pos="1185" w:val="left"/>
        </w:tabs>
        <w:ind w:firstLine="709" w:left="360"/>
        <w:jc w:val="center"/>
        <w:rPr>
          <w:b w:val="1"/>
          <w:sz w:val="28"/>
        </w:rPr>
      </w:pPr>
      <w:r>
        <w:rPr>
          <w:b w:val="1"/>
          <w:sz w:val="28"/>
        </w:rPr>
        <w:t>Схема должностных окладов работников муниципального казенного учреждения «Жилкомэнергосервис» по должностям, включенным в профессиональные квалификационные группы</w:t>
      </w:r>
    </w:p>
    <w:p w14:paraId="55000000">
      <w:pPr>
        <w:tabs>
          <w:tab w:leader="none" w:pos="1185" w:val="left"/>
        </w:tabs>
        <w:ind w:firstLine="709" w:left="360"/>
        <w:jc w:val="center"/>
        <w:rPr>
          <w:b w:val="1"/>
          <w:sz w:val="28"/>
        </w:rPr>
      </w:pPr>
    </w:p>
    <w:tbl>
      <w:tblPr>
        <w:tblStyle w:val="Style_5"/>
        <w:tblW w:type="auto" w:w="0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14"/>
        <w:gridCol w:w="3117"/>
        <w:gridCol w:w="2691"/>
        <w:gridCol w:w="1808"/>
      </w:tblGrid>
      <w:tr>
        <w:trPr>
          <w:trHeight w:hRule="atLeast" w:val="758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Квалификационные уровни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Должности, отнесенные к квалификационным уровням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Должностные оклады (рублей)</w:t>
            </w:r>
          </w:p>
        </w:tc>
      </w:tr>
      <w:t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785"/>
        </w:trPr>
        <w:tc>
          <w:tcPr>
            <w:tcW w:type="dxa" w:w="9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tabs>
                <w:tab w:leader="none" w:pos="1185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>
        <w:trPr>
          <w:trHeight w:hRule="atLeast" w:val="698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Документовед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928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3118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2-й 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tabs>
                <w:tab w:leader="none" w:pos="11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Инженер 2 категории</w:t>
            </w:r>
          </w:p>
          <w:p w14:paraId="66000000">
            <w:pPr>
              <w:tabs>
                <w:tab w:leader="none" w:pos="11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Инженер-сметчик 2 категории</w:t>
            </w:r>
          </w:p>
          <w:p w14:paraId="67000000">
            <w:pPr>
              <w:tabs>
                <w:tab w:leader="none" w:pos="11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Юрисконсульт 2 категории</w:t>
            </w:r>
          </w:p>
          <w:p w14:paraId="68000000">
            <w:pPr>
              <w:tabs>
                <w:tab w:leader="none" w:pos="1185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Старший специалист по закупкам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1506</w:t>
            </w:r>
            <w:r>
              <w:rPr>
                <w:sz w:val="28"/>
              </w:rPr>
              <w:t>,00</w:t>
            </w:r>
          </w:p>
          <w:p w14:paraId="6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6B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11506</w:t>
            </w:r>
            <w:r>
              <w:rPr>
                <w:sz w:val="28"/>
              </w:rPr>
              <w:t>,00</w:t>
            </w:r>
          </w:p>
          <w:p w14:paraId="6C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6D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1506</w:t>
            </w:r>
            <w:r>
              <w:rPr>
                <w:sz w:val="28"/>
              </w:rPr>
              <w:t>,00</w:t>
            </w:r>
          </w:p>
          <w:p w14:paraId="6E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6F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11506</w:t>
            </w:r>
            <w:r>
              <w:rPr>
                <w:sz w:val="28"/>
              </w:rPr>
              <w:t>,00</w:t>
            </w:r>
          </w:p>
        </w:tc>
      </w:tr>
      <w:t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3-й 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Инженер 1 категории</w:t>
            </w:r>
          </w:p>
          <w:p w14:paraId="73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Инженер-сметчик 1 категории</w:t>
            </w:r>
          </w:p>
          <w:p w14:paraId="74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Экономист 1 категории</w:t>
            </w:r>
          </w:p>
          <w:p w14:paraId="75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по закупкам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862</w:t>
            </w:r>
            <w:r>
              <w:rPr>
                <w:sz w:val="28"/>
              </w:rPr>
              <w:t>,00</w:t>
            </w:r>
          </w:p>
          <w:p w14:paraId="77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78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862</w:t>
            </w:r>
            <w:r>
              <w:rPr>
                <w:sz w:val="28"/>
              </w:rPr>
              <w:t>,00</w:t>
            </w:r>
          </w:p>
          <w:p w14:paraId="7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7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862</w:t>
            </w:r>
            <w:r>
              <w:rPr>
                <w:sz w:val="28"/>
              </w:rPr>
              <w:t>,00</w:t>
            </w:r>
          </w:p>
          <w:p w14:paraId="7B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</w:p>
          <w:p w14:paraId="7C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862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1177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4-й 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Ведущий инженер</w:t>
            </w:r>
          </w:p>
          <w:p w14:paraId="80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Механик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3049</w:t>
            </w:r>
            <w:r>
              <w:rPr>
                <w:sz w:val="28"/>
              </w:rPr>
              <w:t>,00</w:t>
            </w:r>
          </w:p>
          <w:p w14:paraId="82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6252</w:t>
            </w:r>
            <w:r>
              <w:rPr>
                <w:sz w:val="28"/>
              </w:rPr>
              <w:t>,00</w:t>
            </w:r>
          </w:p>
        </w:tc>
      </w:tr>
      <w:tr>
        <w:tc>
          <w:tcPr>
            <w:tcW w:type="dxa" w:w="9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tabs>
                <w:tab w:leader="none" w:pos="1185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 Профессиональная квалификационная группа «Общеотраслевые профессии рабочих первого уровня»</w:t>
            </w:r>
          </w:p>
        </w:tc>
      </w:tr>
      <w:tr>
        <w:trPr>
          <w:trHeight w:hRule="atLeast" w:val="795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1-й квалификационный уровень 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tabs>
                <w:tab w:leader="none" w:pos="1185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Водитель автомобиля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8537,00</w:t>
            </w:r>
          </w:p>
        </w:tc>
      </w:tr>
      <w:tr>
        <w:tc>
          <w:tcPr>
            <w:tcW w:type="dxa" w:w="9630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tabs>
                <w:tab w:leader="none" w:pos="1185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 Профессиональная квалификационная группа «Общеотраслевые профессии рабочих второго уровня»</w:t>
            </w:r>
          </w:p>
        </w:tc>
      </w:tr>
      <w:tr>
        <w:trPr>
          <w:trHeight w:hRule="atLeast" w:val="1001"/>
        </w:trPr>
        <w:tc>
          <w:tcPr>
            <w:tcW w:type="dxa" w:w="2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1-й квалификационный уровень</w:t>
            </w: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дворник, сторож (вахтер), уборщик служебных помещений</w:t>
            </w:r>
          </w:p>
        </w:tc>
        <w:tc>
          <w:tcPr>
            <w:tcW w:type="dxa" w:w="1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7668,00</w:t>
            </w:r>
          </w:p>
        </w:tc>
      </w:tr>
    </w:tbl>
    <w:p w14:paraId="8D000000">
      <w:pPr>
        <w:tabs>
          <w:tab w:leader="none" w:pos="1185" w:val="left"/>
        </w:tabs>
        <w:ind w:firstLine="0" w:left="5529"/>
        <w:rPr>
          <w:sz w:val="28"/>
        </w:rPr>
      </w:pPr>
    </w:p>
    <w:p w14:paraId="8E000000">
      <w:pPr>
        <w:tabs>
          <w:tab w:leader="none" w:pos="1185" w:val="left"/>
        </w:tabs>
        <w:ind w:firstLine="0" w:left="5529"/>
        <w:rPr>
          <w:sz w:val="28"/>
        </w:rPr>
      </w:pPr>
    </w:p>
    <w:p w14:paraId="8F000000">
      <w:pPr>
        <w:tabs>
          <w:tab w:leader="none" w:pos="1185" w:val="left"/>
        </w:tabs>
        <w:ind w:firstLine="0" w:left="5529"/>
        <w:rPr>
          <w:sz w:val="28"/>
        </w:rPr>
      </w:pPr>
    </w:p>
    <w:p w14:paraId="90000000">
      <w:pPr>
        <w:tabs>
          <w:tab w:leader="none" w:pos="1185" w:val="left"/>
        </w:tabs>
        <w:ind w:firstLine="0" w:left="5529"/>
        <w:rPr>
          <w:sz w:val="28"/>
        </w:rPr>
      </w:pPr>
    </w:p>
    <w:p w14:paraId="91000000">
      <w:pPr>
        <w:tabs>
          <w:tab w:leader="none" w:pos="1185" w:val="left"/>
        </w:tabs>
        <w:ind w:firstLine="0" w:left="5529"/>
        <w:rPr>
          <w:sz w:val="28"/>
        </w:rPr>
      </w:pPr>
    </w:p>
    <w:p w14:paraId="92000000">
      <w:pPr>
        <w:tabs>
          <w:tab w:leader="none" w:pos="1185" w:val="left"/>
        </w:tabs>
        <w:ind w:firstLine="0" w:left="5529"/>
        <w:rPr>
          <w:sz w:val="28"/>
        </w:rPr>
      </w:pPr>
    </w:p>
    <w:p w14:paraId="93000000">
      <w:pPr>
        <w:tabs>
          <w:tab w:leader="none" w:pos="1185" w:val="left"/>
        </w:tabs>
        <w:ind w:firstLine="0" w:left="5529"/>
        <w:rPr>
          <w:sz w:val="28"/>
        </w:rPr>
      </w:pPr>
    </w:p>
    <w:p w14:paraId="94000000">
      <w:pPr>
        <w:tabs>
          <w:tab w:leader="none" w:pos="1185" w:val="left"/>
        </w:tabs>
        <w:ind w:firstLine="0" w:left="5529"/>
        <w:rPr>
          <w:sz w:val="28"/>
        </w:rPr>
      </w:pPr>
    </w:p>
    <w:p w14:paraId="95000000">
      <w:pPr>
        <w:tabs>
          <w:tab w:leader="none" w:pos="1185" w:val="left"/>
        </w:tabs>
        <w:ind w:firstLine="0" w:left="5529"/>
        <w:rPr>
          <w:sz w:val="28"/>
        </w:rPr>
      </w:pPr>
    </w:p>
    <w:p w14:paraId="96000000">
      <w:pPr>
        <w:tabs>
          <w:tab w:leader="none" w:pos="1185" w:val="left"/>
        </w:tabs>
        <w:ind w:firstLine="0" w:left="5529"/>
        <w:rPr>
          <w:sz w:val="28"/>
        </w:rPr>
      </w:pPr>
    </w:p>
    <w:p w14:paraId="97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8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9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A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B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C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D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E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9F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0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1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2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3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4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5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6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7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8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9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A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B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C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D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E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AF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0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1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2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3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4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5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6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  <w:r>
        <w:rPr>
          <w:sz w:val="28"/>
        </w:rPr>
        <w:t xml:space="preserve">Приложение </w:t>
      </w:r>
      <w:r>
        <w:rPr>
          <w:sz w:val="28"/>
        </w:rPr>
        <w:t>2</w:t>
      </w:r>
    </w:p>
    <w:p w14:paraId="B7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14:paraId="B8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  <w:r>
        <w:rPr>
          <w:sz w:val="28"/>
        </w:rPr>
        <w:t>от ____________№________</w:t>
      </w:r>
    </w:p>
    <w:p w14:paraId="B9000000">
      <w:pPr>
        <w:tabs>
          <w:tab w:leader="none" w:pos="1185" w:val="left"/>
          <w:tab w:leader="none" w:pos="5103" w:val="left"/>
        </w:tabs>
        <w:ind w:firstLine="0" w:left="5670"/>
        <w:rPr>
          <w:sz w:val="28"/>
        </w:rPr>
      </w:pPr>
    </w:p>
    <w:p w14:paraId="BA000000">
      <w:pPr>
        <w:tabs>
          <w:tab w:leader="none" w:pos="1185" w:val="left"/>
        </w:tabs>
        <w:ind w:firstLine="0" w:left="5670"/>
        <w:rPr>
          <w:sz w:val="28"/>
        </w:rPr>
      </w:pPr>
    </w:p>
    <w:p w14:paraId="BB000000">
      <w:pPr>
        <w:tabs>
          <w:tab w:leader="none" w:pos="1185" w:val="left"/>
        </w:tabs>
        <w:ind w:firstLine="709" w:left="360"/>
        <w:jc w:val="center"/>
        <w:rPr>
          <w:b w:val="1"/>
          <w:sz w:val="28"/>
        </w:rPr>
      </w:pPr>
      <w:r>
        <w:rPr>
          <w:b w:val="1"/>
          <w:sz w:val="28"/>
        </w:rPr>
        <w:t>Схема должностных окладов работников муниципального казенного учреждения «Жилкомэнергосервис» по должностям, не включенным в профессиональные квалификационные группы</w:t>
      </w:r>
    </w:p>
    <w:p w14:paraId="BC000000">
      <w:pPr>
        <w:tabs>
          <w:tab w:leader="none" w:pos="1185" w:val="left"/>
        </w:tabs>
        <w:ind w:firstLine="0" w:left="5670"/>
        <w:rPr>
          <w:sz w:val="28"/>
        </w:rPr>
      </w:pPr>
    </w:p>
    <w:tbl>
      <w:tblPr>
        <w:tblStyle w:val="Style_5"/>
        <w:tblW w:type="auto" w:w="0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66"/>
        <w:gridCol w:w="6098"/>
        <w:gridCol w:w="2411"/>
      </w:tblGrid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должностей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Должностные оклады (рублей)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29182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директора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20428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Главный инженер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17794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Начальник отдела по связям с общественностью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16905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Системный администратор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10084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Специалист по персоналу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8928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Специалист по охране труда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8898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Смотритель кладбища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7838</w:t>
            </w:r>
            <w:r>
              <w:rPr>
                <w:sz w:val="28"/>
              </w:rPr>
              <w:t>,00</w:t>
            </w:r>
          </w:p>
        </w:tc>
      </w:tr>
      <w:tr>
        <w:trPr>
          <w:trHeight w:hRule="atLeast" w:val="70"/>
        </w:trPr>
        <w:tc>
          <w:tcPr>
            <w:tcW w:type="dxa" w:w="11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type="dxa" w:w="6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Консультант по связям с общественностью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tabs>
                <w:tab w:leader="none" w:pos="1185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11270</w:t>
            </w:r>
            <w:r>
              <w:rPr>
                <w:sz w:val="28"/>
              </w:rPr>
              <w:t>,00</w:t>
            </w:r>
          </w:p>
        </w:tc>
      </w:tr>
    </w:tbl>
    <w:p w14:paraId="DB000000">
      <w:pPr>
        <w:widowControl w:val="0"/>
        <w:ind w:firstLine="4950" w:left="720"/>
        <w:rPr>
          <w:sz w:val="28"/>
        </w:rPr>
      </w:pPr>
    </w:p>
    <w:p w14:paraId="DC000000">
      <w:pPr>
        <w:widowControl w:val="0"/>
        <w:ind w:firstLine="4950" w:left="720"/>
        <w:rPr>
          <w:sz w:val="28"/>
        </w:rPr>
      </w:pPr>
    </w:p>
    <w:p w14:paraId="DD000000">
      <w:pPr>
        <w:widowControl w:val="0"/>
        <w:ind w:firstLine="4950" w:left="720"/>
        <w:rPr>
          <w:sz w:val="28"/>
        </w:rPr>
      </w:pPr>
    </w:p>
    <w:p w14:paraId="DE000000">
      <w:pPr>
        <w:widowControl w:val="0"/>
        <w:ind w:firstLine="4950" w:left="720"/>
        <w:rPr>
          <w:sz w:val="28"/>
        </w:rPr>
      </w:pPr>
    </w:p>
    <w:p w14:paraId="DF000000">
      <w:pPr>
        <w:widowControl w:val="0"/>
        <w:ind w:firstLine="4950" w:left="720"/>
        <w:rPr>
          <w:sz w:val="28"/>
        </w:rPr>
      </w:pPr>
    </w:p>
    <w:p w14:paraId="E0000000">
      <w:pPr>
        <w:widowControl w:val="0"/>
        <w:ind w:firstLine="4950" w:left="720"/>
        <w:rPr>
          <w:sz w:val="28"/>
        </w:rPr>
      </w:pPr>
    </w:p>
    <w:p w14:paraId="E1000000">
      <w:pPr>
        <w:widowControl w:val="0"/>
        <w:ind w:firstLine="4950" w:left="720"/>
        <w:rPr>
          <w:sz w:val="28"/>
        </w:rPr>
      </w:pPr>
    </w:p>
    <w:p w14:paraId="E2000000">
      <w:pPr>
        <w:widowControl w:val="0"/>
        <w:ind w:firstLine="4950" w:left="720"/>
        <w:rPr>
          <w:sz w:val="28"/>
        </w:rPr>
      </w:pPr>
    </w:p>
    <w:p w14:paraId="E3000000">
      <w:pPr>
        <w:widowControl w:val="0"/>
        <w:ind w:firstLine="4950" w:left="720"/>
        <w:rPr>
          <w:sz w:val="28"/>
        </w:rPr>
      </w:pPr>
    </w:p>
    <w:p w14:paraId="E4000000">
      <w:pPr>
        <w:widowControl w:val="0"/>
        <w:ind w:firstLine="4950" w:left="720"/>
        <w:rPr>
          <w:sz w:val="28"/>
        </w:rPr>
      </w:pPr>
    </w:p>
    <w:p w14:paraId="E5000000">
      <w:pPr>
        <w:widowControl w:val="0"/>
        <w:ind w:firstLine="4950" w:left="720"/>
        <w:rPr>
          <w:sz w:val="28"/>
        </w:rPr>
      </w:pPr>
    </w:p>
    <w:p w14:paraId="E6000000">
      <w:pPr>
        <w:widowControl w:val="0"/>
        <w:ind w:firstLine="4950" w:left="720"/>
        <w:rPr>
          <w:sz w:val="28"/>
        </w:rPr>
      </w:pPr>
    </w:p>
    <w:p w14:paraId="E7000000">
      <w:pPr>
        <w:widowControl w:val="0"/>
        <w:ind w:firstLine="4950" w:left="720"/>
        <w:rPr>
          <w:sz w:val="28"/>
        </w:rPr>
      </w:pPr>
    </w:p>
    <w:p w14:paraId="E8000000">
      <w:pPr>
        <w:widowControl w:val="0"/>
        <w:ind w:firstLine="4950" w:left="720"/>
        <w:rPr>
          <w:sz w:val="28"/>
        </w:rPr>
      </w:pPr>
    </w:p>
    <w:p w14:paraId="E9000000">
      <w:pPr>
        <w:widowControl w:val="0"/>
        <w:ind w:firstLine="4950" w:left="720"/>
        <w:rPr>
          <w:sz w:val="28"/>
        </w:rPr>
      </w:pPr>
    </w:p>
    <w:p w14:paraId="EA000000">
      <w:pPr>
        <w:widowControl w:val="0"/>
        <w:ind w:firstLine="4950" w:left="720"/>
        <w:rPr>
          <w:sz w:val="28"/>
        </w:rPr>
      </w:pPr>
    </w:p>
    <w:p w14:paraId="EB000000">
      <w:pPr>
        <w:widowControl w:val="0"/>
        <w:ind w:firstLine="4950" w:left="720"/>
        <w:rPr>
          <w:sz w:val="28"/>
        </w:rPr>
      </w:pPr>
    </w:p>
    <w:p w14:paraId="EC000000">
      <w:pPr>
        <w:widowControl w:val="0"/>
        <w:ind w:firstLine="4950" w:left="720"/>
        <w:rPr>
          <w:sz w:val="28"/>
        </w:rPr>
      </w:pPr>
    </w:p>
    <w:p w14:paraId="ED000000">
      <w:pPr>
        <w:widowControl w:val="0"/>
        <w:ind w:firstLine="4950" w:left="720"/>
        <w:rPr>
          <w:sz w:val="28"/>
        </w:rPr>
      </w:pPr>
    </w:p>
    <w:p w14:paraId="EE000000">
      <w:pPr>
        <w:widowControl w:val="0"/>
        <w:ind w:firstLine="4950" w:left="720"/>
        <w:rPr>
          <w:sz w:val="28"/>
        </w:rPr>
      </w:pPr>
    </w:p>
    <w:p w14:paraId="EF000000">
      <w:pPr>
        <w:widowControl w:val="0"/>
        <w:ind w:firstLine="4950" w:left="720"/>
        <w:rPr>
          <w:sz w:val="28"/>
        </w:rPr>
      </w:pPr>
    </w:p>
    <w:p w14:paraId="F0000000">
      <w:pPr>
        <w:widowControl w:val="0"/>
        <w:ind w:firstLine="4950" w:left="720"/>
        <w:rPr>
          <w:sz w:val="28"/>
        </w:rPr>
      </w:pPr>
    </w:p>
    <w:p w14:paraId="F1000000">
      <w:pPr>
        <w:widowControl w:val="0"/>
        <w:ind w:firstLine="4950" w:left="720"/>
        <w:rPr>
          <w:sz w:val="28"/>
        </w:rPr>
      </w:pPr>
    </w:p>
    <w:p w14:paraId="F2000000">
      <w:pPr>
        <w:widowControl w:val="0"/>
        <w:ind w:firstLine="4950" w:left="720"/>
        <w:rPr>
          <w:sz w:val="28"/>
        </w:rPr>
      </w:pPr>
    </w:p>
    <w:p w14:paraId="F3000000">
      <w:pPr>
        <w:widowControl w:val="0"/>
        <w:ind w:firstLine="4950" w:left="720"/>
        <w:rPr>
          <w:sz w:val="28"/>
        </w:rPr>
      </w:pPr>
    </w:p>
    <w:p w14:paraId="F4000000">
      <w:pPr>
        <w:widowControl w:val="0"/>
        <w:ind w:firstLine="4950" w:left="720"/>
        <w:rPr>
          <w:sz w:val="28"/>
        </w:rPr>
      </w:pPr>
      <w:r>
        <w:rPr>
          <w:sz w:val="28"/>
        </w:rPr>
        <w:t>Пр</w:t>
      </w:r>
      <w:r>
        <w:rPr>
          <w:sz w:val="28"/>
        </w:rPr>
        <w:t xml:space="preserve">иложение </w:t>
      </w:r>
      <w:r>
        <w:rPr>
          <w:sz w:val="28"/>
        </w:rPr>
        <w:t>3</w:t>
      </w:r>
      <w:r>
        <w:rPr>
          <w:sz w:val="28"/>
        </w:rPr>
        <w:t xml:space="preserve"> </w:t>
      </w:r>
    </w:p>
    <w:p w14:paraId="F5000000">
      <w:pPr>
        <w:ind w:firstLine="0" w:left="5670"/>
        <w:rPr>
          <w:sz w:val="28"/>
        </w:rPr>
      </w:pPr>
      <w:r>
        <w:rPr>
          <w:sz w:val="28"/>
        </w:rPr>
        <w:t>к постановлению администрации Чайковского городского округа</w:t>
      </w:r>
    </w:p>
    <w:p w14:paraId="F6000000">
      <w:pPr>
        <w:ind w:firstLine="0" w:left="5670"/>
        <w:rPr>
          <w:sz w:val="28"/>
        </w:rPr>
      </w:pPr>
      <w:r>
        <w:rPr>
          <w:sz w:val="28"/>
        </w:rPr>
        <w:t>от ____________№________</w:t>
      </w:r>
    </w:p>
    <w:p w14:paraId="F7000000">
      <w:pPr>
        <w:widowControl w:val="0"/>
        <w:ind/>
        <w:jc w:val="center"/>
        <w:rPr>
          <w:sz w:val="28"/>
        </w:rPr>
      </w:pPr>
    </w:p>
    <w:p w14:paraId="F8000000">
      <w:pPr>
        <w:widowControl w:val="0"/>
        <w:ind/>
        <w:jc w:val="right"/>
        <w:rPr>
          <w:sz w:val="28"/>
        </w:rPr>
      </w:pPr>
    </w:p>
    <w:p w14:paraId="F9000000">
      <w:pPr>
        <w:widowControl w:val="0"/>
        <w:ind w:firstLine="0" w:left="720"/>
        <w:rPr>
          <w:b w:val="1"/>
          <w:sz w:val="28"/>
        </w:rPr>
      </w:pPr>
      <w:bookmarkStart w:id="1" w:name="Par237"/>
      <w:bookmarkEnd w:id="1"/>
      <w:r>
        <w:rPr>
          <w:b w:val="1"/>
          <w:sz w:val="28"/>
        </w:rPr>
        <w:t xml:space="preserve">Условия и порядок установления надбавки за особые условия работы </w:t>
      </w:r>
    </w:p>
    <w:p w14:paraId="FA000000">
      <w:pPr>
        <w:widowControl w:val="0"/>
        <w:ind/>
        <w:jc w:val="both"/>
        <w:rPr>
          <w:sz w:val="28"/>
        </w:rPr>
      </w:pPr>
    </w:p>
    <w:p w14:paraId="FB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1.1. Размер надбавки за особые условия работы устанавливается каждому из работников в зависимости от степени сложности, напряженности выполняемой работы по представлению непосредственного руководителя на основании решения руководителя. Назначение и выплата надбавки за особые условия работы производятся в пределах утвержденного фонда оплаты труда работников.</w:t>
      </w:r>
    </w:p>
    <w:p w14:paraId="F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1.2. Размер надбавки за особые условия работы устанавливается в процентах к должностному окладу.</w:t>
      </w:r>
    </w:p>
    <w:p w14:paraId="FD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1.3. Выплата надбавки за особые условия работы производится одновременно с заработной платой за текущий месяц.</w:t>
      </w:r>
    </w:p>
    <w:p w14:paraId="F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1.4. На основании критериев оценки эффективности выполняемых должностных обязанностей надбавка за особые условия работы устанавливается в следующих размерах:</w:t>
      </w:r>
    </w:p>
    <w:p w14:paraId="FF000000">
      <w:pPr>
        <w:ind/>
        <w:jc w:val="right"/>
      </w:pPr>
    </w:p>
    <w:p w14:paraId="00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Критерии оценки эффективности выполняемых должностных обязанностей</w:t>
      </w:r>
    </w:p>
    <w:p w14:paraId="01010000">
      <w:pPr>
        <w:ind/>
        <w:jc w:val="center"/>
        <w:rPr>
          <w:rFonts w:ascii="Arial" w:hAnsi="Arial"/>
        </w:rPr>
      </w:pPr>
    </w:p>
    <w:tbl>
      <w:tblPr>
        <w:tblStyle w:val="Style_5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52"/>
        <w:gridCol w:w="5245"/>
        <w:gridCol w:w="1842"/>
      </w:tblGrid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28"/>
              </w:rPr>
            </w:pPr>
            <w:r>
              <w:rPr>
                <w:b w:val="1"/>
                <w:color w:val="333333"/>
                <w:sz w:val="28"/>
              </w:rPr>
              <w:t>№</w:t>
            </w:r>
            <w:r>
              <w:rPr>
                <w:b w:val="1"/>
                <w:color w:val="333333"/>
                <w:sz w:val="28"/>
              </w:rPr>
              <w:br/>
            </w:r>
            <w:r>
              <w:rPr>
                <w:b w:val="1"/>
                <w:color w:val="333333"/>
                <w:sz w:val="28"/>
              </w:rPr>
              <w:t>п/п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tabs>
                <w:tab w:leader="none" w:pos="4153" w:val="center"/>
                <w:tab w:leader="none" w:pos="8306" w:val="righ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Критерии оценки эффективности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widowControl w:val="0"/>
              <w:tabs>
                <w:tab w:leader="none" w:pos="4153" w:val="center"/>
                <w:tab w:leader="none" w:pos="8306" w:val="right"/>
              </w:tabs>
              <w:ind w:hanging="139" w:left="139"/>
              <w:jc w:val="center"/>
              <w:rPr>
                <w:sz w:val="28"/>
              </w:rPr>
            </w:pPr>
            <w:r>
              <w:rPr>
                <w:sz w:val="28"/>
              </w:rPr>
              <w:t>Размер ежемесячной надбавки,</w:t>
            </w:r>
          </w:p>
          <w:p w14:paraId="05010000">
            <w:pPr>
              <w:tabs>
                <w:tab w:leader="none" w:pos="4153" w:val="center"/>
                <w:tab w:leader="none" w:pos="8306" w:val="right"/>
              </w:tabs>
              <w:ind w:hanging="139" w:left="139"/>
              <w:jc w:val="center"/>
              <w:rPr>
                <w:sz w:val="28"/>
              </w:rPr>
            </w:pPr>
            <w:r>
              <w:rPr>
                <w:sz w:val="28"/>
              </w:rPr>
              <w:t>% должностного оклада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tabs>
                <w:tab w:leader="none" w:pos="4153" w:val="center"/>
                <w:tab w:leader="none" w:pos="8306" w:val="right"/>
              </w:tabs>
              <w:ind/>
              <w:rPr>
                <w:b w:val="1"/>
                <w:color w:val="333333"/>
                <w:sz w:val="28"/>
              </w:rPr>
            </w:pPr>
            <w:r>
              <w:rPr>
                <w:sz w:val="28"/>
              </w:rPr>
              <w:t>1.Заместитель директора (по производству)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Выполнение отраслевых показателей деятельности Учреждения. Выполнение мероприятий по приоритетным проектам и задачам Учреждения. Своевременность подготовки ответов на письма и обращения, своевременная проверка и сдача бухгалтерских документов (акты КС-2, КС-3, счета-фактуры и других), своевременная подготовка технических заданий. Отсутствие фактов нарушения действующего законодательства.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widowControl w:val="0"/>
              <w:tabs>
                <w:tab w:leader="none" w:pos="4153" w:val="center"/>
                <w:tab w:leader="none" w:pos="8306" w:val="right"/>
              </w:tabs>
              <w:ind w:hanging="139" w:left="139"/>
              <w:jc w:val="center"/>
              <w:rPr>
                <w:sz w:val="28"/>
              </w:rPr>
            </w:pPr>
            <w:r>
              <w:rPr>
                <w:sz w:val="28"/>
              </w:rPr>
              <w:t>До 300 %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2.Заместитель директора (по конкурентным закупкам)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Размещение извещения об осуществлении закупки в установленные сроки, соответствие извещения об осуществлении закупки законодательству Российской Федерации о контрактной системе в сфере закупок.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300 %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3. Главный инженер, ведущий инженер, инженер 1 категории, инженер 2 категории.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Своевременность подготовки ответов на письма и обращения, своевременная проверка и сдача бухгалтерских документов (акты КС-2, КС-3, счета-фактуры и других), своевременная подготовка технических заданий.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250 %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4. Начальник отдела по связям с общественностью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Выполнение мероприятий по взаимодействию с общественностью, своевременность подготовки ответов на письма и обращения, отсутствие фактов нарушения действующего законодательства.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250 %</w:t>
            </w:r>
          </w:p>
        </w:tc>
      </w:tr>
      <w:tr>
        <w:trPr>
          <w:trHeight w:hRule="atLeast" w:val="1310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5. Инженер-сметчик 1 категории, инженер-сметчик 2 категории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Своевременная подготовка локальных сметных расчетов, своевременная проверка сметной документации.</w:t>
            </w:r>
          </w:p>
          <w:p w14:paraId="14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200 %</w:t>
            </w:r>
          </w:p>
        </w:tc>
      </w:tr>
      <w:tr>
        <w:trPr>
          <w:trHeight w:hRule="atLeast" w:val="209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6.Юрисконсульт 2 категории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Оказание качественной правовой помощи в подготовке и оформлении различного рода правовых документов, эффективное ведение исковой работы и представление интересов Учреждения в судах и иных инстанциях.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200 %</w:t>
            </w:r>
          </w:p>
        </w:tc>
      </w:tr>
      <w:tr>
        <w:trPr>
          <w:trHeight w:hRule="atLeast" w:val="242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7.Специалист по охране труда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 контроль за прохождением специалистами Учреждения обучения по охране труда, разработка проектов локальных нормативных актов, обеспечивающих создание и функционирование системы управления охраной труда.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150 %</w:t>
            </w:r>
          </w:p>
        </w:tc>
      </w:tr>
      <w:tr>
        <w:trPr>
          <w:trHeight w:hRule="atLeast" w:val="144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8. Системный администратор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бесперебойной работы компьютерной и офисной техники и программного обеспечения, соблюдение требований по сохранности базы данных.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150 %</w:t>
            </w:r>
          </w:p>
        </w:tc>
      </w:tr>
      <w:tr>
        <w:trPr>
          <w:trHeight w:hRule="atLeast" w:val="101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9.Документовед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Поддержание документооборота (входящей и исходящей корреспонденции) в надлежащем состоянии.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250 %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10.Ведущий специалист по закупкам, старший специалист по закупкам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проверки необходимой документации для проведения закупочной процедуры. Проверка на достоверность полученной информации о ходе исполнения обязательств поставщика (подрядчика, исполнителя), в том числе о сложностях, возникающих при исполнении контракта.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250 %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11.Экономист 1 категории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предоставление в МКУ «Центр бухгалтерского учета» документов, предусмотренных регламентом обработки документов при осуществлении закупок товаров, работ, услуг. Своевременное размещение сведений об исполнении контрактов.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300 %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12. Специалист по персоналу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Своевременность и полнота принятия </w:t>
            </w:r>
            <w:r>
              <w:rPr>
                <w:sz w:val="28"/>
              </w:rPr>
              <w:t>мер</w:t>
            </w:r>
            <w:r>
              <w:rPr>
                <w:sz w:val="28"/>
              </w:rPr>
              <w:t xml:space="preserve"> реагирования на нарушения внутреннего трудового распорядка, допущенные работниками Учреждения. Качественное ведение документации (приказы по личному составу, журнал регистрации приказов). Качественное и своевременное предоставление отчетности (табели учета рабочего времени, ответы на запросы). Качественное и своевременное ведение документации по воинскому учету и предоставление отчетов.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250 %</w:t>
            </w: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13. Уборщик служебных помещений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Содержание участка в соответствии с требованиями, качественная уборка помещений, прилегающей территории, отсутствие замечаний на несоблюдение санитарно-гигиенических норм при уборке помещения, отсутствие зарегистрированных замечаний и нареканий к деятельности сотрудника со стороны потребителей услуг и руководства.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150</w:t>
            </w:r>
            <w:r>
              <w:rPr>
                <w:sz w:val="28"/>
              </w:rPr>
              <w:t xml:space="preserve"> %</w:t>
            </w:r>
          </w:p>
        </w:tc>
      </w:tr>
      <w:tr>
        <w:trPr>
          <w:trHeight w:hRule="atLeast" w:val="4235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14. Водитель автомобиля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 своевременную сдачу и оформление путевых листов. Отсутствие или наличие по срокам сдачи или качеству оформления путевых листов (определяется механиком Учреждения) по согласованию с руководителем. За нарушение правил охраны труда, техники безопасности или безопасности дорожного движения. Отсутствие или наличие фактов нарушения правил охраны труда, техники безопасности или безопасности дорожного движения (включая наличие штрафов ГИБДД).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>0 %</w:t>
            </w:r>
          </w:p>
        </w:tc>
      </w:tr>
      <w:tr>
        <w:trPr>
          <w:trHeight w:hRule="atLeast" w:val="416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15. Механик</w:t>
            </w:r>
          </w:p>
          <w:p w14:paraId="32010000">
            <w:pPr>
              <w:tabs>
                <w:tab w:leader="none" w:pos="1009" w:val="center"/>
                <w:tab w:leader="none" w:pos="2019" w:val="right"/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Своевременное составление и предоставление в бухгалтерию путевых листов и другой документации.</w:t>
            </w:r>
          </w:p>
          <w:p w14:paraId="34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Содержание автотранспорта в исправном состоянии, своевременное прохождение технических осмотров, ОСАГО.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>До 200 %</w:t>
            </w:r>
          </w:p>
          <w:p w14:paraId="36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</w:p>
        </w:tc>
      </w:tr>
      <w:t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16. Смотритель кладбища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Контроль за содержанием кладбища в надлежащем состоянии, контроль за организацией похоронного обслуживания.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15</w:t>
            </w:r>
            <w:r>
              <w:rPr>
                <w:sz w:val="28"/>
              </w:rPr>
              <w:t>0 %</w:t>
            </w:r>
          </w:p>
        </w:tc>
      </w:tr>
      <w:tr>
        <w:trPr>
          <w:trHeight w:hRule="atLeast" w:val="1341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17. Сторож (вахтер)</w:t>
            </w:r>
          </w:p>
          <w:p w14:paraId="3B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охраны объектов Учреждения и территории.</w:t>
            </w:r>
          </w:p>
          <w:p w14:paraId="3D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Качественное осуществление пропускного режима.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15</w:t>
            </w:r>
            <w:r>
              <w:rPr>
                <w:sz w:val="28"/>
              </w:rPr>
              <w:t>0 %</w:t>
            </w:r>
          </w:p>
          <w:p w14:paraId="3F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</w:p>
        </w:tc>
      </w:tr>
      <w:tr>
        <w:trPr>
          <w:trHeight w:hRule="atLeast" w:val="943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  <w:r>
              <w:rPr>
                <w:sz w:val="28"/>
              </w:rPr>
              <w:t>18. Дворник</w:t>
            </w:r>
          </w:p>
          <w:p w14:paraId="41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tabs>
                <w:tab w:leader="none" w:pos="4153" w:val="center"/>
                <w:tab w:leader="none" w:pos="8306" w:val="righ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Содержание территории в соответствии с требованиями СанПиН. Обеспечение сохранности рабочего инвентаря.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tabs>
                <w:tab w:leader="none" w:pos="4153" w:val="center"/>
                <w:tab w:leader="none" w:pos="8306" w:val="right"/>
              </w:tabs>
              <w:ind w:firstLine="432" w:left="0"/>
              <w:rPr>
                <w:sz w:val="28"/>
              </w:rPr>
            </w:pPr>
            <w:r>
              <w:rPr>
                <w:sz w:val="28"/>
              </w:rPr>
              <w:t xml:space="preserve">До </w:t>
            </w:r>
            <w:r>
              <w:rPr>
                <w:sz w:val="28"/>
              </w:rPr>
              <w:t>15</w:t>
            </w:r>
            <w:bookmarkStart w:id="2" w:name="_GoBack"/>
            <w:bookmarkEnd w:id="2"/>
            <w:r>
              <w:rPr>
                <w:sz w:val="28"/>
              </w:rPr>
              <w:t>0 %</w:t>
            </w:r>
          </w:p>
          <w:p w14:paraId="44010000">
            <w:pPr>
              <w:tabs>
                <w:tab w:leader="none" w:pos="4153" w:val="center"/>
                <w:tab w:leader="none" w:pos="8306" w:val="right"/>
              </w:tabs>
              <w:ind/>
              <w:rPr>
                <w:sz w:val="28"/>
              </w:rPr>
            </w:pPr>
          </w:p>
        </w:tc>
      </w:tr>
      <w:tr>
        <w:trPr>
          <w:trHeight w:hRule="atLeast" w:val="408"/>
        </w:trPr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contextualSpacing w:val="1"/>
              <w:rPr>
                <w:sz w:val="28"/>
              </w:rPr>
            </w:pPr>
            <w:r>
              <w:rPr>
                <w:sz w:val="28"/>
              </w:rPr>
              <w:t>19. Консультант по связям с общественностью</w:t>
            </w:r>
          </w:p>
        </w:tc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widowControl w:val="0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Качественная организация работы с общественностью на закрепленной территории, руководителями учреждений, предприятий всех форм собственности, расположенных на закрепленной территорией; активное участие с </w:t>
            </w:r>
            <w:r>
              <w:rPr>
                <w:color w:val="372D2D"/>
                <w:spacing w:val="4"/>
                <w:sz w:val="28"/>
              </w:rPr>
              <w:t xml:space="preserve">населением в общественной и добровольческой деятельности; </w:t>
            </w:r>
            <w:r>
              <w:rPr>
                <w:sz w:val="28"/>
              </w:rPr>
              <w:t>качественное</w:t>
            </w:r>
            <w:r>
              <w:rPr>
                <w:color w:val="372D2D"/>
                <w:spacing w:val="4"/>
                <w:sz w:val="28"/>
              </w:rPr>
              <w:t xml:space="preserve"> обеспечение взаимодействия власти и общества в решении вопросов местного значения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widowControl w:val="0"/>
              <w:ind/>
              <w:contextualSpacing w:val="1"/>
              <w:jc w:val="center"/>
              <w:rPr>
                <w:sz w:val="28"/>
              </w:rPr>
            </w:pPr>
            <w:r>
              <w:rPr>
                <w:sz w:val="28"/>
              </w:rPr>
              <w:t>До 150 %</w:t>
            </w:r>
          </w:p>
        </w:tc>
      </w:tr>
    </w:tbl>
    <w:p w14:paraId="48010000">
      <w:pPr>
        <w:ind w:firstLine="0" w:left="5529"/>
        <w:rPr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567" w:footer="709" w:gutter="0" w:header="709" w:left="1418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  <w:r>
      <w:t>МНПА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Проект размещен на сайте 23.10.2024 Срок  приема заключений независимых экспертов до 01.11.2024 на электронный адрес ud-mnpa@chaykovsky.permkrai.ru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6_ch" w:type="character">
    <w:name w:val="Normal"/>
    <w:link w:val="Style_6"/>
    <w:rPr>
      <w:rFonts w:ascii="Times New Roman" w:hAnsi="Times New Roman"/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Body Text Indent"/>
    <w:basedOn w:val="Style_6"/>
    <w:link w:val="Style_13_ch"/>
    <w:pPr>
      <w:spacing w:after="120"/>
      <w:ind w:firstLine="0" w:left="283"/>
    </w:pPr>
  </w:style>
  <w:style w:styleId="Style_13_ch" w:type="character">
    <w:name w:val="Body Text Indent"/>
    <w:basedOn w:val="Style_6_ch"/>
    <w:link w:val="Style_13"/>
  </w:style>
  <w:style w:styleId="Style_14" w:type="paragraph">
    <w:name w:val="регистрационные поля"/>
    <w:basedOn w:val="Style_6"/>
    <w:link w:val="Style_14_ch"/>
    <w:pPr>
      <w:spacing w:line="240" w:lineRule="exact"/>
      <w:ind/>
      <w:jc w:val="center"/>
    </w:pPr>
    <w:rPr>
      <w:sz w:val="28"/>
    </w:rPr>
  </w:style>
  <w:style w:styleId="Style_14_ch" w:type="character">
    <w:name w:val="регистрационные поля"/>
    <w:basedOn w:val="Style_6_ch"/>
    <w:link w:val="Style_14"/>
    <w:rPr>
      <w:sz w:val="28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  <w:rPr>
      <w:sz w:val="28"/>
    </w:rPr>
  </w:style>
  <w:style w:styleId="Style_4_ch" w:type="character">
    <w:name w:val="List Paragraph"/>
    <w:basedOn w:val="Style_6_ch"/>
    <w:link w:val="Style_4"/>
    <w:rPr>
      <w:sz w:val="28"/>
    </w:rPr>
  </w:style>
  <w:style w:styleId="Style_15" w:type="paragraph">
    <w:name w:val="ConsPlusNormal"/>
    <w:link w:val="Style_1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15_ch" w:type="character">
    <w:name w:val="ConsPlusNormal"/>
    <w:link w:val="Style_15"/>
    <w:rPr>
      <w:rFonts w:ascii="Arial" w:hAnsi="Arial"/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3" w:type="paragraph">
    <w:name w:val="No Spacing"/>
    <w:link w:val="Style_3_ch"/>
    <w:pPr>
      <w:spacing w:after="0" w:line="240" w:lineRule="auto"/>
      <w:ind/>
    </w:pPr>
  </w:style>
  <w:style w:styleId="Style_3_ch" w:type="character">
    <w:name w:val="No Spacing"/>
    <w:link w:val="Style_3"/>
  </w:style>
  <w:style w:styleId="Style_17" w:type="paragraph">
    <w:name w:val="ConsPlusNonformat"/>
    <w:link w:val="Style_17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7_ch" w:type="character">
    <w:name w:val="ConsPlusNonformat"/>
    <w:link w:val="Style_17"/>
    <w:rPr>
      <w:rFonts w:ascii="Courier New" w:hAnsi="Courier New"/>
      <w:sz w:val="20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1" w:type="paragraph">
    <w:name w:val="Header and Footer"/>
    <w:link w:val="Style_1_ch"/>
    <w:pPr>
      <w:spacing w:line="240" w:lineRule="auto"/>
      <w:ind/>
      <w:jc w:val="both"/>
    </w:pPr>
    <w:rPr>
      <w:rFonts w:ascii="XO Thames" w:hAnsi="XO Thames"/>
      <w:sz w:val="28"/>
    </w:rPr>
  </w:style>
  <w:style w:styleId="Style_1_ch" w:type="character">
    <w:name w:val="Header and Footer"/>
    <w:link w:val="Style_1"/>
    <w:rPr>
      <w:rFonts w:ascii="XO Thames" w:hAnsi="XO Thames"/>
      <w:sz w:val="28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header"/>
    <w:basedOn w:val="Style_6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6_ch"/>
    <w:link w:val="Style_24"/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6_ch"/>
    <w:link w:val="Style_2"/>
  </w:style>
  <w:style w:styleId="Style_27" w:type="paragraph">
    <w:name w:val="Balloon Text"/>
    <w:basedOn w:val="Style_6"/>
    <w:link w:val="Style_27_ch"/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Title"/>
    <w:next w:val="Style_6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6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2024-10-23T11:43:10Z</dcterms:modified>
</cp:coreProperties>
</file>