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rPr>
          <w:rFonts w:ascii="Times New Roman" w:hAnsi="Times New Roman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47307</wp:posOffset>
                </wp:positionH>
                <wp:positionV relativeFrom="page">
                  <wp:posOffset>3171824</wp:posOffset>
                </wp:positionV>
                <wp:extent cx="2811780" cy="144780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811780" cy="144780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00000">
                            <w:pPr>
                              <w:spacing w:after="0" w:line="240" w:lineRule="exact"/>
                              <w:ind/>
                              <w:jc w:val="both"/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О внесении изменений в Порядок предоставления и расходования средств на проведение и участие в мероприятиях военнопатриотического воспитания обучающихся, утвержденный постановлением администрации Чайковского городского округа от 20.12.2021 № 1346</w:t>
                            </w:r>
                          </w:p>
                          <w:p w14:paraId="05000000">
                            <w:pPr>
                              <w:spacing w:after="0" w:line="240" w:lineRule="exact"/>
                              <w:ind/>
                              <w:jc w:val="both"/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311150</wp:posOffset>
                </wp:positionH>
                <wp:positionV relativeFrom="paragraph">
                  <wp:posOffset>1882140</wp:posOffset>
                </wp:positionV>
                <wp:extent cx="1700529" cy="271145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700529" cy="27114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00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4078605</wp:posOffset>
                </wp:positionH>
                <wp:positionV relativeFrom="paragraph">
                  <wp:posOffset>1847850</wp:posOffset>
                </wp:positionV>
                <wp:extent cx="1839595" cy="30543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39595" cy="30543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00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inline>
            <wp:extent cx="5943600" cy="2324735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943600" cy="232473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78.1 </w:t>
      </w:r>
      <w:r>
        <w:rPr>
          <w:rFonts w:ascii="Times New Roman" w:hAnsi="Times New Roman"/>
          <w:sz w:val="28"/>
        </w:rPr>
        <w:t>Бюджетного кодекса Российской Федерации, Федеральным законом от 6 октября 2003 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постановлением Правительства Российской Фе</w:t>
      </w:r>
      <w:r>
        <w:rPr>
          <w:rFonts w:ascii="Times New Roman" w:hAnsi="Times New Roman"/>
          <w:sz w:val="28"/>
        </w:rPr>
        <w:t>дерации от 22 февраля 2020 г. № </w:t>
      </w:r>
      <w:r>
        <w:rPr>
          <w:rFonts w:ascii="Times New Roman" w:hAnsi="Times New Roman"/>
          <w:sz w:val="28"/>
        </w:rPr>
        <w:t xml:space="preserve">203 </w:t>
      </w:r>
      <w:r>
        <w:rPr>
          <w:rFonts w:ascii="Times New Roman" w:hAnsi="Times New Roman"/>
          <w:sz w:val="28"/>
        </w:rPr>
        <w:t xml:space="preserve">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>
        <w:rPr>
          <w:rFonts w:ascii="Times New Roman" w:hAnsi="Times New Roman"/>
          <w:sz w:val="28"/>
        </w:rPr>
        <w:t xml:space="preserve">Уставом Чайковского </w:t>
      </w:r>
      <w:r>
        <w:rPr>
          <w:rFonts w:ascii="Times New Roman" w:hAnsi="Times New Roman"/>
          <w:sz w:val="28"/>
        </w:rPr>
        <w:t>городского округа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постановлением администрации </w:t>
      </w:r>
      <w:r>
        <w:rPr>
          <w:rFonts w:ascii="Times New Roman" w:hAnsi="Times New Roman"/>
          <w:sz w:val="28"/>
        </w:rPr>
        <w:t xml:space="preserve">города </w:t>
      </w:r>
      <w:r>
        <w:rPr>
          <w:rFonts w:ascii="Times New Roman" w:hAnsi="Times New Roman"/>
          <w:sz w:val="28"/>
        </w:rPr>
        <w:t xml:space="preserve">Чайковского </w:t>
      </w:r>
      <w:r>
        <w:rPr>
          <w:rFonts w:ascii="Times New Roman" w:hAnsi="Times New Roman"/>
          <w:sz w:val="28"/>
        </w:rPr>
        <w:t>от 15 января 2019 г. № 5/1 «Об утверждении муниципальной программы «Развитие образования Чайковского городского округа»</w:t>
      </w:r>
      <w:r>
        <w:rPr>
          <w:rFonts w:ascii="Times New Roman" w:hAnsi="Times New Roman"/>
          <w:sz w:val="28"/>
        </w:rPr>
        <w:t>, постановлением администрации Чайковского городского округа от 8</w:t>
      </w:r>
      <w:r>
        <w:rPr>
          <w:rFonts w:ascii="Times New Roman" w:hAnsi="Times New Roman"/>
          <w:sz w:val="28"/>
        </w:rPr>
        <w:t xml:space="preserve"> ноября </w:t>
      </w:r>
      <w:r>
        <w:rPr>
          <w:rFonts w:ascii="Times New Roman" w:hAnsi="Times New Roman"/>
          <w:sz w:val="28"/>
        </w:rPr>
        <w:t>2021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№ 1152 «</w:t>
      </w:r>
      <w:r>
        <w:rPr>
          <w:rFonts w:ascii="Times New Roman" w:hAnsi="Times New Roman"/>
          <w:sz w:val="28"/>
        </w:rPr>
        <w:t>Об установлении расходного обязательства Чайковского городского округа на проведение и участие в мероприятиях военно-патриотического воспитания обучающихся</w:t>
      </w:r>
      <w:r>
        <w:rPr>
          <w:rFonts w:ascii="Times New Roman" w:hAnsi="Times New Roman"/>
          <w:sz w:val="28"/>
        </w:rPr>
        <w:t>»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2000000">
      <w:pPr>
        <w:pStyle w:val="Style_3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Порядок </w:t>
      </w:r>
      <w:r>
        <w:rPr>
          <w:rFonts w:ascii="Times New Roman" w:hAnsi="Times New Roman"/>
          <w:sz w:val="28"/>
        </w:rPr>
        <w:t xml:space="preserve">предоставления и расходования средств </w:t>
      </w:r>
      <w:r>
        <w:rPr>
          <w:rFonts w:ascii="Times New Roman" w:hAnsi="Times New Roman"/>
          <w:sz w:val="28"/>
        </w:rPr>
        <w:t>на проведение и участие в мероприятиях военно-патриотического воспитания обучающихся</w:t>
      </w:r>
      <w:r>
        <w:rPr>
          <w:rFonts w:ascii="Times New Roman" w:hAnsi="Times New Roman"/>
          <w:sz w:val="28"/>
        </w:rPr>
        <w:t>, утвержденный постановлением администрации Чайковского городского округа от 20 декабря 2021 г. № 1346</w:t>
      </w:r>
      <w:r>
        <w:rPr>
          <w:rFonts w:ascii="Times New Roman" w:hAnsi="Times New Roman"/>
          <w:sz w:val="28"/>
        </w:rPr>
        <w:t xml:space="preserve">, следующие изменения: </w:t>
      </w:r>
    </w:p>
    <w:p w14:paraId="13000000">
      <w:pPr>
        <w:pStyle w:val="Style_3"/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sz w:val="28"/>
        </w:rPr>
        <w:t>пункт 2.2. изложить в следующей редакции:</w:t>
      </w:r>
    </w:p>
    <w:p w14:paraId="14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«2.2. </w:t>
      </w:r>
      <w:r>
        <w:rPr>
          <w:rFonts w:ascii="Times New Roman" w:hAnsi="Times New Roman"/>
          <w:sz w:val="28"/>
        </w:rPr>
        <w:t>Средства предоставляются в виде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на иные цели (далее – субсиди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</w:rPr>
        <w:t xml:space="preserve">на основании Соглашения </w:t>
      </w:r>
      <w:r>
        <w:rPr>
          <w:rFonts w:ascii="Times New Roman" w:hAnsi="Times New Roman"/>
          <w:sz w:val="28"/>
        </w:rPr>
        <w:t xml:space="preserve">о предоставлении из бюджета Чайковского городского округа муниципальному бюджетному (автономному) учреждению субсидии на иные цели (далее – Соглашение), заключенного между учредителем и учреждением в соответствии с типовой формой, утвержденной </w:t>
      </w:r>
      <w:r>
        <w:rPr>
          <w:rFonts w:ascii="Times New Roman" w:hAnsi="Times New Roman"/>
          <w:sz w:val="28"/>
        </w:rPr>
        <w:t xml:space="preserve">приказом Управления финансов и экономического развития администрации Чайковского городского округа от 10 января 2019 г. № 23 </w:t>
      </w:r>
      <w:r>
        <w:rPr>
          <w:rFonts w:ascii="Times New Roman" w:hAnsi="Times New Roman"/>
          <w:sz w:val="28"/>
        </w:rPr>
        <w:t>(далее – Управление финансов).</w:t>
      </w:r>
      <w:r>
        <w:rPr>
          <w:rFonts w:ascii="Times New Roman" w:hAnsi="Times New Roman"/>
          <w:sz w:val="28"/>
        </w:rPr>
        <w:t>»;</w:t>
      </w:r>
    </w:p>
    <w:p w14:paraId="15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>
        <w:rPr>
          <w:rFonts w:ascii="Times New Roman" w:hAnsi="Times New Roman"/>
          <w:sz w:val="28"/>
        </w:rPr>
        <w:t xml:space="preserve"> подпункт 2.9.1 изложить в следующей редакции:</w:t>
      </w:r>
    </w:p>
    <w:p w14:paraId="1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«2.9.1 при проведении муниципальных мероприятий: приобретение оборудования</w:t>
      </w:r>
      <w:r>
        <w:rPr>
          <w:rFonts w:ascii="Times New Roman" w:hAnsi="Times New Roman"/>
          <w:sz w:val="28"/>
        </w:rPr>
        <w:t xml:space="preserve">, материальных запасов, </w:t>
      </w:r>
      <w:r>
        <w:rPr>
          <w:rFonts w:ascii="Times New Roman" w:hAnsi="Times New Roman"/>
          <w:sz w:val="28"/>
        </w:rPr>
        <w:t xml:space="preserve">мобильного тематического оформления для </w:t>
      </w:r>
      <w:r>
        <w:rPr>
          <w:rFonts w:ascii="Times New Roman" w:hAnsi="Times New Roman"/>
          <w:sz w:val="28"/>
        </w:rPr>
        <w:t>проведения</w:t>
      </w:r>
      <w:r>
        <w:rPr>
          <w:rFonts w:ascii="Times New Roman" w:hAnsi="Times New Roman"/>
          <w:sz w:val="28"/>
        </w:rPr>
        <w:t xml:space="preserve"> мероприятий патриотической направленности, значков и формы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личных книжек юнармейцев, </w:t>
      </w:r>
      <w:r>
        <w:rPr>
          <w:rFonts w:ascii="Times New Roman" w:hAnsi="Times New Roman"/>
          <w:sz w:val="28"/>
        </w:rPr>
        <w:t>накидок, палаток, призов, сувенирной (подарочной) продукции, подарочных сертификатов, канцелярских товаров, грамот, дипломов, сертификатов, кубков, благодарственных писем, рамок;</w:t>
      </w:r>
      <w:r>
        <w:rPr>
          <w:rFonts w:ascii="Times New Roman" w:hAnsi="Times New Roman"/>
          <w:sz w:val="28"/>
        </w:rPr>
        <w:t>»;</w:t>
      </w:r>
    </w:p>
    <w:p w14:paraId="17000000">
      <w:pPr>
        <w:pStyle w:val="Style_3"/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</w:t>
      </w:r>
      <w:r>
        <w:rPr>
          <w:rFonts w:ascii="Times New Roman" w:hAnsi="Times New Roman"/>
          <w:sz w:val="28"/>
        </w:rPr>
        <w:t>пункт 2.1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дополнить абзацем следующего содержания:</w:t>
      </w:r>
    </w:p>
    <w:p w14:paraId="18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«Соглашением устанавливается план мероприятий по достижению результатов предоставления субсидии.»;</w:t>
      </w:r>
    </w:p>
    <w:p w14:paraId="19000000">
      <w:pPr>
        <w:pStyle w:val="Style_3"/>
        <w:numPr>
          <w:ilvl w:val="1"/>
          <w:numId w:val="2"/>
        </w:numPr>
        <w:spacing w:after="0" w:line="240" w:lineRule="auto"/>
        <w:ind w:firstLine="69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3.3. изложить в следующей редакции:</w:t>
      </w:r>
    </w:p>
    <w:p w14:paraId="1A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3.3. </w:t>
      </w:r>
      <w:r>
        <w:rPr>
          <w:rFonts w:ascii="Times New Roman" w:hAnsi="Times New Roman"/>
          <w:sz w:val="28"/>
        </w:rPr>
        <w:t xml:space="preserve">В случае несоблюдения учреждениями целей и условий, установленных при предоставлении субсидии,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показателей результативности,</w:t>
      </w:r>
      <w:r>
        <w:rPr>
          <w:rFonts w:ascii="Times New Roman" w:hAnsi="Times New Roman"/>
          <w:sz w:val="28"/>
        </w:rPr>
        <w:t xml:space="preserve"> выявленных по результатам проверок, проведенных </w:t>
      </w:r>
      <w:r>
        <w:rPr>
          <w:rFonts w:ascii="Times New Roman" w:hAnsi="Times New Roman"/>
          <w:sz w:val="28"/>
        </w:rPr>
        <w:t>Управлением образования</w:t>
      </w:r>
      <w:r>
        <w:rPr>
          <w:rFonts w:ascii="Times New Roman" w:hAnsi="Times New Roman"/>
          <w:sz w:val="28"/>
        </w:rPr>
        <w:t xml:space="preserve"> и уполномоченным органом муниципального финансового контроля, субсидия подлежит возврату в бюджет Чайковского городского округа в следующие сроки:</w:t>
      </w:r>
    </w:p>
    <w:p w14:paraId="1B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требования </w:t>
      </w:r>
      <w:r>
        <w:rPr>
          <w:rFonts w:ascii="Times New Roman" w:hAnsi="Times New Roman"/>
          <w:sz w:val="28"/>
        </w:rPr>
        <w:t>Управления образования</w:t>
      </w:r>
      <w:r>
        <w:rPr>
          <w:rFonts w:ascii="Times New Roman" w:hAnsi="Times New Roman"/>
          <w:sz w:val="28"/>
        </w:rPr>
        <w:t xml:space="preserve"> - в течение 30 календарных дней со дня получения учреждениями соответствующего требования;</w:t>
      </w:r>
    </w:p>
    <w:p w14:paraId="1C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представления и (или) предписания уполномоченного органа муниципального финансового контроля - в срок, установленный в соответствии с бюджетн</w:t>
      </w:r>
      <w:bookmarkStart w:id="1" w:name="_GoBack"/>
      <w:bookmarkEnd w:id="1"/>
      <w:r>
        <w:rPr>
          <w:rFonts w:ascii="Times New Roman" w:hAnsi="Times New Roman"/>
          <w:sz w:val="28"/>
        </w:rPr>
        <w:t>ым законодательством Российской Федерации.</w:t>
      </w:r>
    </w:p>
    <w:p w14:paraId="1D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невыполнения учреждениями требований о возврате субсиди</w:t>
      </w:r>
      <w:r>
        <w:rPr>
          <w:rFonts w:ascii="Times New Roman" w:hAnsi="Times New Roman"/>
          <w:sz w:val="28"/>
        </w:rPr>
        <w:t>и Управление образования</w:t>
      </w:r>
      <w:r>
        <w:rPr>
          <w:rFonts w:ascii="Times New Roman" w:hAnsi="Times New Roman"/>
          <w:sz w:val="28"/>
        </w:rPr>
        <w:t xml:space="preserve"> обеспечивает взыскание субсидии в судебном порядке в соответствии с действующим законодательством.</w:t>
      </w:r>
      <w:r>
        <w:rPr>
          <w:rFonts w:ascii="Times New Roman" w:hAnsi="Times New Roman"/>
          <w:sz w:val="28"/>
        </w:rPr>
        <w:t>»;</w:t>
      </w:r>
    </w:p>
    <w:p w14:paraId="1E000000">
      <w:pPr>
        <w:pStyle w:val="Style_3"/>
        <w:numPr>
          <w:ilvl w:val="1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пункт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.4. дополнить </w:t>
      </w:r>
      <w:r>
        <w:rPr>
          <w:rFonts w:ascii="Times New Roman" w:hAnsi="Times New Roman"/>
          <w:sz w:val="28"/>
        </w:rPr>
        <w:t xml:space="preserve">абзацем </w:t>
      </w:r>
      <w:r>
        <w:rPr>
          <w:rFonts w:ascii="Times New Roman" w:hAnsi="Times New Roman"/>
          <w:sz w:val="28"/>
        </w:rPr>
        <w:t xml:space="preserve">вторым </w:t>
      </w:r>
      <w:r>
        <w:rPr>
          <w:rFonts w:ascii="Times New Roman" w:hAnsi="Times New Roman"/>
          <w:sz w:val="28"/>
        </w:rPr>
        <w:t>следующего содержания:</w:t>
      </w:r>
    </w:p>
    <w:p w14:paraId="1F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порядке, установленном Министерством </w:t>
      </w:r>
      <w:r>
        <w:rPr>
          <w:rFonts w:ascii="Times New Roman" w:hAnsi="Times New Roman"/>
          <w:sz w:val="28"/>
        </w:rPr>
        <w:t>финансов Российской Федерации.».</w:t>
      </w:r>
    </w:p>
    <w:p w14:paraId="20000000">
      <w:pPr>
        <w:pStyle w:val="Style_3"/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Опубликовать постановление в газете «Огни Камы» и разместить на официальном сайте администрации Чайковского </w:t>
      </w:r>
      <w:r>
        <w:rPr>
          <w:rFonts w:ascii="Times New Roman" w:hAnsi="Times New Roman"/>
          <w:sz w:val="28"/>
        </w:rPr>
        <w:t>городского округа.</w:t>
      </w:r>
    </w:p>
    <w:p w14:paraId="2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остановление вступает в силу </w:t>
      </w:r>
      <w:r>
        <w:rPr>
          <w:rFonts w:ascii="Times New Roman" w:hAnsi="Times New Roman"/>
          <w:sz w:val="28"/>
        </w:rPr>
        <w:t xml:space="preserve">после его официального опубликования </w:t>
      </w:r>
      <w:r>
        <w:rPr>
          <w:rFonts w:ascii="Times New Roman" w:hAnsi="Times New Roman"/>
          <w:sz w:val="28"/>
        </w:rPr>
        <w:t>и распространяется на правоотношения, возникшие с 1 января 2024 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, кроме </w:t>
      </w:r>
      <w:r>
        <w:rPr>
          <w:rFonts w:ascii="Times New Roman" w:hAnsi="Times New Roman"/>
          <w:sz w:val="28"/>
        </w:rPr>
        <w:t>пункт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настоящего постановления.</w:t>
      </w:r>
    </w:p>
    <w:p w14:paraId="2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Пункт 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постановления вступа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 в силу с 1 января 2025 г</w:t>
      </w:r>
      <w:r>
        <w:rPr>
          <w:rFonts w:ascii="Times New Roman" w:hAnsi="Times New Roman"/>
          <w:sz w:val="28"/>
        </w:rPr>
        <w:t>.</w:t>
      </w:r>
    </w:p>
    <w:p w14:paraId="23000000">
      <w:pPr>
        <w:tabs>
          <w:tab w:leader="none" w:pos="0" w:val="left"/>
          <w:tab w:leader="none" w:pos="1134" w:val="left"/>
        </w:tabs>
        <w:spacing w:after="0" w:line="360" w:lineRule="exact"/>
        <w:ind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 xml:space="preserve">городского округа – </w:t>
      </w:r>
    </w:p>
    <w:p w14:paraId="25000000">
      <w:pPr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администрации </w:t>
      </w:r>
    </w:p>
    <w:p w14:paraId="26000000">
      <w:pPr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Чайковского городского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А.В.Агафонов</w:t>
      </w:r>
    </w:p>
    <w:sectPr>
      <w:headerReference r:id="rId1" w:type="default"/>
      <w:footerReference r:id="rId2" w:type="default"/>
      <w:pgSz w:h="16838" w:orient="portrait" w:w="11906"/>
      <w:pgMar w:bottom="1134" w:footer="408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  <w:r>
      <w:t>МНПА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t>Проект размещен на сайте 12.12.2024 Срок  приема заключений независимых экспертов до 21.12.2024 на электронный адрес ud-mnpa@chaykovsky.permkrai.ru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140" w:left="1849"/>
      </w:pPr>
    </w:lvl>
    <w:lvl w:ilvl="1">
      <w:start w:val="2"/>
      <w:numFmt w:val="decimal"/>
      <w:lvlText w:val="%1.%2."/>
      <w:lvlJc w:val="left"/>
      <w:pPr>
        <w:ind w:hanging="720" w:left="1429"/>
      </w:pPr>
    </w:lvl>
    <w:lvl w:ilvl="2">
      <w:start w:val="1"/>
      <w:numFmt w:val="decimal"/>
      <w:lvlText w:val="%1.%2.%3."/>
      <w:lvlJc w:val="left"/>
      <w:pPr>
        <w:ind w:hanging="720" w:left="1429"/>
      </w:pPr>
    </w:lvl>
    <w:lvl w:ilvl="3">
      <w:start w:val="1"/>
      <w:numFmt w:val="decimal"/>
      <w:lvlText w:val="%1.%2.%3.%4."/>
      <w:lvlJc w:val="left"/>
      <w:pPr>
        <w:ind w:hanging="1080" w:left="1789"/>
      </w:pPr>
    </w:lvl>
    <w:lvl w:ilvl="4">
      <w:start w:val="1"/>
      <w:numFmt w:val="decimal"/>
      <w:lvlText w:val="%1.%2.%3.%4.%5."/>
      <w:lvlJc w:val="left"/>
      <w:pPr>
        <w:ind w:hanging="1080" w:left="1789"/>
      </w:pPr>
    </w:lvl>
    <w:lvl w:ilvl="5">
      <w:start w:val="1"/>
      <w:numFmt w:val="decimal"/>
      <w:lvlText w:val="%1.%2.%3.%4.%5.%6."/>
      <w:lvlJc w:val="left"/>
      <w:pPr>
        <w:ind w:hanging="1440" w:left="2149"/>
      </w:pPr>
    </w:lvl>
    <w:lvl w:ilvl="6">
      <w:start w:val="1"/>
      <w:numFmt w:val="decimal"/>
      <w:lvlText w:val="%1.%2.%3.%4.%5.%6.%7."/>
      <w:lvlJc w:val="left"/>
      <w:pPr>
        <w:ind w:hanging="1800" w:left="2509"/>
      </w:pPr>
    </w:lvl>
    <w:lvl w:ilvl="7">
      <w:start w:val="1"/>
      <w:numFmt w:val="decimal"/>
      <w:lvlText w:val="%1.%2.%3.%4.%5.%6.%7.%8."/>
      <w:lvlJc w:val="left"/>
      <w:pPr>
        <w:ind w:hanging="1800" w:left="2509"/>
      </w:pPr>
    </w:lvl>
    <w:lvl w:ilvl="8">
      <w:start w:val="1"/>
      <w:numFmt w:val="decimal"/>
      <w:lvlText w:val="%1.%2.%3.%4.%5.%6.%7.%8.%9."/>
      <w:lvlJc w:val="left"/>
      <w:pPr>
        <w:ind w:hanging="2160" w:left="2869"/>
      </w:pPr>
    </w:lvl>
  </w:abstractNum>
  <w:abstractNum w:abstractNumId="1">
    <w:lvl w:ilvl="0">
      <w:start w:val="1"/>
      <w:numFmt w:val="decimal"/>
      <w:lvlText w:val="%1."/>
      <w:lvlJc w:val="left"/>
      <w:pPr>
        <w:ind w:hanging="450" w:left="450"/>
      </w:pPr>
    </w:lvl>
    <w:lvl w:ilvl="1">
      <w:start w:val="4"/>
      <w:numFmt w:val="decimal"/>
      <w:lvlText w:val="%1.%2."/>
      <w:lvlJc w:val="left"/>
      <w:pPr>
        <w:ind w:hanging="720" w:left="1429"/>
      </w:pPr>
    </w:lvl>
    <w:lvl w:ilvl="2">
      <w:start w:val="1"/>
      <w:numFmt w:val="decimal"/>
      <w:lvlText w:val="%1.%2.%3."/>
      <w:lvlJc w:val="left"/>
      <w:pPr>
        <w:ind w:hanging="720" w:left="2138"/>
      </w:pPr>
    </w:lvl>
    <w:lvl w:ilvl="3">
      <w:start w:val="1"/>
      <w:numFmt w:val="decimal"/>
      <w:lvlText w:val="%1.%2.%3.%4."/>
      <w:lvlJc w:val="left"/>
      <w:pPr>
        <w:ind w:hanging="1080" w:left="3207"/>
      </w:pPr>
    </w:lvl>
    <w:lvl w:ilvl="4">
      <w:start w:val="1"/>
      <w:numFmt w:val="decimal"/>
      <w:lvlText w:val="%1.%2.%3.%4.%5."/>
      <w:lvlJc w:val="left"/>
      <w:pPr>
        <w:ind w:hanging="1080" w:left="3916"/>
      </w:pPr>
    </w:lvl>
    <w:lvl w:ilvl="5">
      <w:start w:val="1"/>
      <w:numFmt w:val="decimal"/>
      <w:lvlText w:val="%1.%2.%3.%4.%5.%6."/>
      <w:lvlJc w:val="left"/>
      <w:pPr>
        <w:ind w:hanging="1440" w:left="4985"/>
      </w:pPr>
    </w:lvl>
    <w:lvl w:ilvl="6">
      <w:start w:val="1"/>
      <w:numFmt w:val="decimal"/>
      <w:lvlText w:val="%1.%2.%3.%4.%5.%6.%7."/>
      <w:lvlJc w:val="left"/>
      <w:pPr>
        <w:ind w:hanging="1800" w:left="6054"/>
      </w:pPr>
    </w:lvl>
    <w:lvl w:ilvl="7">
      <w:start w:val="1"/>
      <w:numFmt w:val="decimal"/>
      <w:lvlText w:val="%1.%2.%3.%4.%5.%6.%7.%8."/>
      <w:lvlJc w:val="left"/>
      <w:pPr>
        <w:ind w:hanging="1800" w:left="6763"/>
      </w:pPr>
    </w:lvl>
    <w:lvl w:ilvl="8">
      <w:start w:val="1"/>
      <w:numFmt w:val="decimal"/>
      <w:lvlText w:val="%1.%2.%3.%4.%5.%6.%7.%8.%9."/>
      <w:lvlJc w:val="left"/>
      <w:pPr>
        <w:ind w:hanging="2160" w:left="783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ody text (2)"/>
    <w:basedOn w:val="Style_4"/>
    <w:link w:val="Style_10_ch"/>
    <w:pPr>
      <w:widowControl w:val="0"/>
      <w:spacing w:after="0" w:before="1320" w:line="355" w:lineRule="exact"/>
      <w:ind/>
      <w:jc w:val="both"/>
    </w:pPr>
    <w:rPr>
      <w:rFonts w:ascii="Times New Roman" w:hAnsi="Times New Roman"/>
      <w:sz w:val="28"/>
    </w:rPr>
  </w:style>
  <w:style w:styleId="Style_10_ch" w:type="character">
    <w:name w:val="Body text (2)"/>
    <w:basedOn w:val="Style_4_ch"/>
    <w:link w:val="Style_10"/>
    <w:rPr>
      <w:rFonts w:ascii="Times New Roman" w:hAnsi="Times New Roman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alloon Text"/>
    <w:basedOn w:val="Style_4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4_ch"/>
    <w:link w:val="Style_13"/>
    <w:rPr>
      <w:rFonts w:ascii="Tahoma" w:hAnsi="Tahoma"/>
      <w:sz w:val="16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4"/>
    <w:next w:val="Style_4"/>
    <w:link w:val="Style_16_ch"/>
    <w:uiPriority w:val="9"/>
    <w:qFormat/>
    <w:pPr>
      <w:widowControl w:val="0"/>
      <w:spacing w:after="108" w:before="108" w:line="240" w:lineRule="auto"/>
      <w:ind/>
      <w:jc w:val="center"/>
      <w:outlineLvl w:val="0"/>
    </w:pPr>
    <w:rPr>
      <w:rFonts w:ascii="Times New Roman CYR" w:hAnsi="Times New Roman CYR"/>
      <w:b w:val="1"/>
      <w:color w:val="26282F"/>
      <w:sz w:val="24"/>
    </w:rPr>
  </w:style>
  <w:style w:styleId="Style_16_ch" w:type="character">
    <w:name w:val="heading 1"/>
    <w:basedOn w:val="Style_4_ch"/>
    <w:link w:val="Style_16"/>
    <w:rPr>
      <w:rFonts w:ascii="Times New Roman CYR" w:hAnsi="Times New Roman CYR"/>
      <w:b w:val="1"/>
      <w:color w:val="26282F"/>
      <w:sz w:val="24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header"/>
    <w:basedOn w:val="Style_4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2_ch" w:type="character">
    <w:name w:val="header"/>
    <w:basedOn w:val="Style_4_ch"/>
    <w:link w:val="Style_22"/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Гипертекстовая ссылка"/>
    <w:basedOn w:val="Style_6"/>
    <w:link w:val="Style_27_ch"/>
    <w:rPr>
      <w:b w:val="0"/>
      <w:color w:val="106BBE"/>
    </w:rPr>
  </w:style>
  <w:style w:styleId="Style_27_ch" w:type="character">
    <w:name w:val="Гипертекстовая ссылка"/>
    <w:basedOn w:val="Style_6_ch"/>
    <w:link w:val="Style_27"/>
    <w:rPr>
      <w:b w:val="0"/>
      <w:color w:val="106BBE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2024-12-12T06:52:54Z</dcterms:modified>
</cp:coreProperties>
</file>