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47307</wp:posOffset>
                </wp:positionH>
                <wp:positionV relativeFrom="page">
                  <wp:posOffset>3190874</wp:posOffset>
                </wp:positionV>
                <wp:extent cx="2884170" cy="26384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84170" cy="26384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внесении изменений в Порядок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предоставления и расходования средств, переданных из бюджета Пермского края на выполнение государственных полномочий по предоставлению мер социальной поддержки по оплате жилого помещения и коммунальных услуг педагогическим работникам образовательных организаций, работающим и проживающим в сельской местности и поселках городского типа (рабочих поселках), утвержденный постановлением администрации Чайковского городского округа от 25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.01.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2022 № 88</w:t>
                            </w:r>
                          </w:p>
                          <w:p w14:paraId="05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декабря 2012 г. № 273-ФЗ «Об образовании в Российской Федерации», </w:t>
      </w:r>
      <w:r>
        <w:rPr>
          <w:rFonts w:ascii="Times New Roman" w:hAnsi="Times New Roman"/>
          <w:sz w:val="28"/>
        </w:rPr>
        <w:t>постановлением Правительства Российской Фе</w:t>
      </w:r>
      <w:r>
        <w:rPr>
          <w:rFonts w:ascii="Times New Roman" w:hAnsi="Times New Roman"/>
          <w:sz w:val="28"/>
        </w:rPr>
        <w:t>дерации от 22 февраля 2020 г. № </w:t>
      </w:r>
      <w:r>
        <w:rPr>
          <w:rFonts w:ascii="Times New Roman" w:hAnsi="Times New Roman"/>
          <w:sz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Законом Пермского края от 1 июня 2010 г. № 628-ПК «О социальной поддержке педагогических работников государственных и муниципальных образовательных организаций, работающих и проживающих в сельской местности и поселках городского типа (рабочих поселках), по оплате жилого помещения и коммунальных услуг», постановлением Правительства Пермского края от 8 июня 2010 г. № 293-п «Об утверждении Порядка предоставления педагогическим работникам образовательных организаций, работающим и проживающим в сельской местности и поселках городского типа (рабочих поселках), мер социальной поддержки по оплате жилого помещения и коммунальных услуг», </w:t>
      </w:r>
      <w:r>
        <w:rPr>
          <w:rFonts w:ascii="Times New Roman" w:hAnsi="Times New Roman"/>
          <w:sz w:val="28"/>
        </w:rPr>
        <w:t>Уставом Чайковского городского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 xml:space="preserve">Чайковского </w:t>
      </w:r>
      <w:r>
        <w:rPr>
          <w:rFonts w:ascii="Times New Roman" w:hAnsi="Times New Roman"/>
          <w:sz w:val="28"/>
        </w:rPr>
        <w:t>от 15 января 2019 г. № 5/1 «Об утверждении муниципальной программы «Развитие образования Чайковского городского округа»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8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Порядок </w:t>
      </w:r>
      <w:r>
        <w:rPr>
          <w:rFonts w:ascii="Times New Roman" w:hAnsi="Times New Roman"/>
          <w:sz w:val="28"/>
        </w:rPr>
        <w:t>предоставления и расходования средств, переданных из бюджета Пермского края на выполнение государственных полномочий по предоставлению мер социальной поддержки по оплате жилого помещения и коммунальных услуг педагогическим работникам образовательных организаций, работающим и проживающим в сельской местности и поселках гор</w:t>
      </w:r>
      <w:r>
        <w:rPr>
          <w:rFonts w:ascii="Times New Roman" w:hAnsi="Times New Roman"/>
          <w:sz w:val="28"/>
        </w:rPr>
        <w:t xml:space="preserve">одского типа (рабочих поселках), </w:t>
      </w:r>
      <w:r>
        <w:rPr>
          <w:rFonts w:ascii="Times New Roman" w:hAnsi="Times New Roman"/>
          <w:sz w:val="28"/>
        </w:rPr>
        <w:t>утвержденный постановлением администрации Чайковского городского округа от 25 января 2022 г. № 88</w:t>
      </w:r>
      <w:r>
        <w:rPr>
          <w:rFonts w:ascii="Times New Roman" w:hAnsi="Times New Roman"/>
          <w:sz w:val="28"/>
        </w:rPr>
        <w:t xml:space="preserve"> (в редакции постановлени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администрации Чайковского городского округа от </w:t>
      </w:r>
      <w:r>
        <w:rPr>
          <w:rFonts w:ascii="Times New Roman" w:hAnsi="Times New Roman"/>
          <w:sz w:val="28"/>
        </w:rPr>
        <w:t>3 июля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645, от 4 сентября 2023 г. № 874, от 11 марта 2024 г. № 240</w:t>
      </w:r>
      <w:r>
        <w:rPr>
          <w:rFonts w:ascii="Times New Roman" w:hAnsi="Times New Roman"/>
          <w:sz w:val="28"/>
        </w:rPr>
        <w:t xml:space="preserve">), следующие изменения: </w:t>
      </w:r>
    </w:p>
    <w:p w14:paraId="19000000">
      <w:pPr>
        <w:pStyle w:val="Style_4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дополнить абзацем следующего содержания:</w:t>
      </w:r>
    </w:p>
    <w:p w14:paraId="1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«Соглашением устанавливается план мероприятий по достижению результатов предоставления субсидии.»;</w:t>
      </w:r>
    </w:p>
    <w:p w14:paraId="1B000000">
      <w:pPr>
        <w:pStyle w:val="Style_4"/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4.3. дополнить абзацем следующего содержания:</w:t>
      </w:r>
    </w:p>
    <w:p w14:paraId="1C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1D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после его официального опубликования и распространяется на правоотношения, возникшие с 1 января 2024 г., кроме пункта 1.2 настоящего постановления.</w:t>
      </w:r>
    </w:p>
    <w:p w14:paraId="1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Пункт 1.2. постановления </w:t>
      </w:r>
      <w:r>
        <w:rPr>
          <w:rFonts w:ascii="Times New Roman" w:hAnsi="Times New Roman"/>
          <w:sz w:val="28"/>
        </w:rPr>
        <w:t>вступа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в силу</w:t>
      </w:r>
      <w:r>
        <w:rPr>
          <w:rFonts w:ascii="Times New Roman" w:hAnsi="Times New Roman"/>
          <w:sz w:val="28"/>
        </w:rPr>
        <w:t xml:space="preserve"> с 1 января 2025 г.</w:t>
      </w:r>
    </w:p>
    <w:p w14:paraId="2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городского округа – </w:t>
      </w:r>
    </w:p>
    <w:p w14:paraId="23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4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>Агафонов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408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29.11.2024 Срок приема заключений независимых экспертов до 08.12.2024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35" w:left="1743"/>
      </w:pPr>
    </w:lvl>
    <w:lvl w:ilvl="1">
      <w:start w:val="4"/>
      <w:numFmt w:val="decimal"/>
      <w:lvlText w:val="%1.%2."/>
      <w:lvlJc w:val="left"/>
      <w:pPr>
        <w:ind w:hanging="720" w:left="1430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текстовая ссылка"/>
    <w:basedOn w:val="Style_10"/>
    <w:link w:val="Style_9_ch"/>
    <w:rPr>
      <w:b w:val="0"/>
      <w:color w:val="106BBE"/>
    </w:rPr>
  </w:style>
  <w:style w:styleId="Style_9_ch" w:type="character">
    <w:name w:val="Гипертекстовая ссылка"/>
    <w:basedOn w:val="Style_10_ch"/>
    <w:link w:val="Style_9"/>
    <w:rPr>
      <w:b w:val="0"/>
      <w:color w:val="106BB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 (2)"/>
    <w:basedOn w:val="Style_3"/>
    <w:link w:val="Style_13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13_ch" w:type="character">
    <w:name w:val="Body text (2)"/>
    <w:basedOn w:val="Style_3_ch"/>
    <w:link w:val="Style_13"/>
    <w:rPr>
      <w:rFonts w:ascii="Times New Roman" w:hAnsi="Times New Roman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3"/>
    <w:next w:val="Style_3"/>
    <w:link w:val="Style_17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7_ch" w:type="character">
    <w:name w:val="heading 1"/>
    <w:basedOn w:val="Style_3_ch"/>
    <w:link w:val="Style_17"/>
    <w:rPr>
      <w:rFonts w:ascii="Times New Roman CYR" w:hAnsi="Times New Roman CYR"/>
      <w:b w:val="1"/>
      <w:color w:val="26282F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3_ch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2024-11-29T10:48:10Z</dcterms:modified>
</cp:coreProperties>
</file>