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48077</wp:posOffset>
                </wp:positionH>
                <wp:positionV relativeFrom="page">
                  <wp:posOffset>3133724</wp:posOffset>
                </wp:positionV>
                <wp:extent cx="2576830" cy="2781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76830" cy="27813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внесении изменений в Порядок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предоставления и расходования средств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на предоставление бесплатного горячего питания обучающимся 5-11-х классов общеобразовательных организаций, являющимся детьми участников специальной военной операции, в том числе в случае их гибели (смерти)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, утвержденный постановлением администрации Чайковского городского округа от 28.02.2024 № 196</w:t>
                            </w:r>
                          </w:p>
                          <w:p w14:paraId="05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360" w:lineRule="exact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360" w:lineRule="exact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360" w:lineRule="exact"/>
        <w:ind w:firstLine="709" w:left="0"/>
        <w:jc w:val="center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78.1 Бюджетного кодекса Российской Федерации,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</w:t>
      </w:r>
      <w:r>
        <w:rPr>
          <w:rFonts w:ascii="Times New Roman" w:hAnsi="Times New Roman"/>
          <w:sz w:val="28"/>
        </w:rPr>
        <w:t xml:space="preserve">учреждениям субсидий на иные цели», </w:t>
      </w:r>
      <w:r>
        <w:rPr>
          <w:rFonts w:ascii="Times New Roman" w:hAnsi="Times New Roman"/>
          <w:sz w:val="28"/>
        </w:rPr>
        <w:t xml:space="preserve">постановлением Правительства Пермского края от </w:t>
      </w:r>
      <w:r>
        <w:rPr>
          <w:rFonts w:ascii="Times New Roman" w:hAnsi="Times New Roman"/>
          <w:sz w:val="28"/>
        </w:rPr>
        <w:t>2 ф</w:t>
      </w:r>
      <w:r>
        <w:rPr>
          <w:rFonts w:ascii="Times New Roman" w:hAnsi="Times New Roman"/>
          <w:sz w:val="28"/>
        </w:rPr>
        <w:t>евраля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64-п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предоставлении иных межбюджетных трансфертов бюджетам муниципальных образований Пермского края для предоставления</w:t>
      </w:r>
      <w:r>
        <w:rPr>
          <w:rFonts w:ascii="Times New Roman" w:hAnsi="Times New Roman"/>
          <w:sz w:val="28"/>
        </w:rPr>
        <w:t xml:space="preserve"> бесплатного горячего питания обучающимся 5-11</w:t>
      </w:r>
      <w:r>
        <w:rPr>
          <w:rFonts w:ascii="Times New Roman" w:hAnsi="Times New Roman"/>
          <w:sz w:val="28"/>
        </w:rPr>
        <w:t>-х</w:t>
      </w:r>
      <w:r>
        <w:rPr>
          <w:rFonts w:ascii="Times New Roman" w:hAnsi="Times New Roman"/>
          <w:sz w:val="28"/>
        </w:rPr>
        <w:t xml:space="preserve"> классов общеобразовательных организаций, являющимся детьми участников специальной военной операции</w:t>
      </w:r>
      <w:r>
        <w:rPr>
          <w:rFonts w:ascii="Times New Roman" w:hAnsi="Times New Roman"/>
          <w:sz w:val="28"/>
        </w:rPr>
        <w:t>, в том числе в случае их гибели (смерти)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Уставом Чайковского городского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администрации города Чайковского от 17 января 2019 г. № 8/1 «Об утверждении муниципальной программы «Социальная поддержка граждан </w:t>
      </w:r>
      <w:r>
        <w:rPr>
          <w:rFonts w:ascii="Times New Roman" w:hAnsi="Times New Roman"/>
          <w:sz w:val="28"/>
        </w:rPr>
        <w:t>Чайковского городского округа»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8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Порядок </w:t>
      </w:r>
      <w:r>
        <w:rPr>
          <w:rFonts w:ascii="Times New Roman" w:hAnsi="Times New Roman"/>
          <w:sz w:val="28"/>
        </w:rPr>
        <w:t>предоставления и расходования средств на предоставление бесплатного горячего питания обучающимся 5-11-х классов общеобразовательных организаций, являющимся детьми участников специальной военной операции, в том числе в случае их гибели (смерти), утвержденный постановлением администрации Чайковского городского округа от 28 февраля 2024 г. № 196</w:t>
      </w:r>
      <w:r>
        <w:rPr>
          <w:rFonts w:ascii="Times New Roman" w:hAnsi="Times New Roman"/>
          <w:sz w:val="28"/>
        </w:rPr>
        <w:t>, следующие изменения:</w:t>
      </w:r>
    </w:p>
    <w:p w14:paraId="19000000">
      <w:pPr>
        <w:pStyle w:val="Style_4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1.2. изложить в следующей редакции:</w:t>
      </w:r>
    </w:p>
    <w:p w14:paraId="1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«1.2. </w:t>
      </w:r>
      <w:r>
        <w:rPr>
          <w:rFonts w:ascii="Times New Roman" w:hAnsi="Times New Roman"/>
          <w:sz w:val="28"/>
        </w:rPr>
        <w:t xml:space="preserve">Средства предоставляются в целях организации бесплатного горячего питания обучающихся </w:t>
      </w:r>
      <w:r>
        <w:rPr>
          <w:rFonts w:ascii="Times New Roman" w:hAnsi="Times New Roman"/>
          <w:sz w:val="28"/>
        </w:rPr>
        <w:t>5-11-х классов</w:t>
      </w:r>
      <w:r>
        <w:rPr>
          <w:rFonts w:ascii="Times New Roman" w:hAnsi="Times New Roman"/>
          <w:sz w:val="28"/>
        </w:rPr>
        <w:t xml:space="preserve"> муниципальных общеобразовательных организаций, </w:t>
      </w:r>
      <w:r>
        <w:rPr>
          <w:rFonts w:ascii="Times New Roman" w:hAnsi="Times New Roman"/>
          <w:sz w:val="28"/>
        </w:rPr>
        <w:t xml:space="preserve">являющимся детьми участников специальной военной операции, в том числе в случае их гибели (смерти) </w:t>
      </w:r>
      <w:r>
        <w:rPr>
          <w:rFonts w:ascii="Times New Roman" w:hAnsi="Times New Roman"/>
          <w:sz w:val="28"/>
        </w:rPr>
        <w:t>(далее – обучающиеся, учреждения).</w:t>
      </w:r>
    </w:p>
    <w:p w14:paraId="1B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целей настоящего Порядка к участникам специальной</w:t>
      </w:r>
      <w:r>
        <w:rPr>
          <w:rFonts w:ascii="Times New Roman" w:hAnsi="Times New Roman"/>
          <w:sz w:val="28"/>
        </w:rPr>
        <w:t xml:space="preserve"> военной операции относятся находящиеся в зоне специальной военной операции, а также пропавшие без вести в период участия в специальной военной операции:</w:t>
      </w:r>
    </w:p>
    <w:p w14:paraId="1C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граждане, имеющие статус военнослужащего в соответствии с Федеральным законом от 27 мая 1998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76-ФЗ </w:t>
      </w:r>
      <w:r>
        <w:rPr>
          <w:rFonts w:ascii="Times New Roman" w:hAnsi="Times New Roman"/>
          <w:sz w:val="28"/>
        </w:rPr>
        <w:t>«О статусе военнослужащих»</w:t>
      </w:r>
      <w:r>
        <w:rPr>
          <w:rFonts w:ascii="Times New Roman" w:hAnsi="Times New Roman"/>
          <w:sz w:val="28"/>
        </w:rPr>
        <w:t>;</w:t>
      </w:r>
    </w:p>
    <w:p w14:paraId="1D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граждане, призванные на военную службу по мобилизации в соответствии с Указом Президента Российской Федерации от 21 сентября 2022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647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объявлении частичной моб</w:t>
      </w:r>
      <w:r>
        <w:rPr>
          <w:rFonts w:ascii="Times New Roman" w:hAnsi="Times New Roman"/>
          <w:sz w:val="28"/>
        </w:rPr>
        <w:t>илизации в Российской Федерации»</w:t>
      </w:r>
      <w:r>
        <w:rPr>
          <w:rFonts w:ascii="Times New Roman" w:hAnsi="Times New Roman"/>
          <w:sz w:val="28"/>
        </w:rPr>
        <w:t>;</w:t>
      </w:r>
    </w:p>
    <w:p w14:paraId="1E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  <w:r>
        <w:rPr>
          <w:rFonts w:ascii="Times New Roman" w:hAnsi="Times New Roman"/>
          <w:sz w:val="28"/>
        </w:rPr>
        <w:t>»;</w:t>
      </w:r>
    </w:p>
    <w:p w14:paraId="1F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color w:val="000000"/>
          <w:sz w:val="28"/>
        </w:rPr>
        <w:t>пункт 2.1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 дополнить абзацем следующего содержания:</w:t>
      </w:r>
    </w:p>
    <w:p w14:paraId="2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«Соглашением устанавливается план мероприятий по достижению результатов предоставления субсидии.»;</w:t>
      </w:r>
    </w:p>
    <w:p w14:paraId="21000000">
      <w:pPr>
        <w:pStyle w:val="Style_4"/>
        <w:numPr>
          <w:ilvl w:val="1"/>
          <w:numId w:val="3"/>
        </w:numPr>
        <w:spacing w:after="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 4.3. дополнить абзацем следующего содержания:</w:t>
      </w:r>
    </w:p>
    <w:p w14:paraId="2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14:paraId="23000000">
      <w:pPr>
        <w:widowControl w:val="0"/>
        <w:tabs>
          <w:tab w:leader="none" w:pos="12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2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>после его официального опубликования и распространяется на правоотношения, возникшие с 9 августа 2024 г., кроме пункта 1.3. настоящего постановления.</w:t>
      </w:r>
    </w:p>
    <w:p w14:paraId="2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Пункт 1.3. постановления </w:t>
      </w:r>
      <w:r>
        <w:rPr>
          <w:rFonts w:ascii="Times New Roman" w:hAnsi="Times New Roman"/>
          <w:sz w:val="28"/>
        </w:rPr>
        <w:t>вступает в силу</w:t>
      </w:r>
      <w:r>
        <w:rPr>
          <w:rFonts w:ascii="Times New Roman" w:hAnsi="Times New Roman"/>
          <w:sz w:val="28"/>
        </w:rPr>
        <w:t xml:space="preserve"> с 1 января 2025 г.</w:t>
      </w:r>
    </w:p>
    <w:p w14:paraId="26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27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городского округа – </w:t>
      </w:r>
    </w:p>
    <w:p w14:paraId="29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A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А.В. Агафонов</w:t>
      </w:r>
    </w:p>
    <w:p w14:paraId="2B000000">
      <w:pPr>
        <w:spacing w:after="0" w:line="240" w:lineRule="auto"/>
        <w:ind w:firstLine="0" w:left="9072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26.11.2024 Срок  приема заключений независимых экспертов до 05.12.2024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35" w:left="1743"/>
      </w:pPr>
    </w:lvl>
    <w:lvl w:ilvl="1">
      <w:start w:val="4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2463"/>
      </w:pPr>
    </w:lvl>
    <w:lvl w:ilvl="2">
      <w:start w:val="1"/>
      <w:numFmt w:val="decimal"/>
      <w:lvlText w:val="%1.%2.%3."/>
      <w:lvlJc w:val="left"/>
      <w:pPr>
        <w:ind w:hanging="720" w:left="4206"/>
      </w:pPr>
    </w:lvl>
    <w:lvl w:ilvl="3">
      <w:start w:val="1"/>
      <w:numFmt w:val="decimal"/>
      <w:lvlText w:val="%1.%2.%3.%4."/>
      <w:lvlJc w:val="left"/>
      <w:pPr>
        <w:ind w:hanging="1080" w:left="6309"/>
      </w:pPr>
    </w:lvl>
    <w:lvl w:ilvl="4">
      <w:start w:val="1"/>
      <w:numFmt w:val="decimal"/>
      <w:lvlText w:val="%1.%2.%3.%4.%5."/>
      <w:lvlJc w:val="left"/>
      <w:pPr>
        <w:ind w:hanging="1080" w:left="8052"/>
      </w:pPr>
    </w:lvl>
    <w:lvl w:ilvl="5">
      <w:start w:val="1"/>
      <w:numFmt w:val="decimal"/>
      <w:lvlText w:val="%1.%2.%3.%4.%5.%6."/>
      <w:lvlJc w:val="left"/>
      <w:pPr>
        <w:ind w:hanging="1440" w:left="10155"/>
      </w:pPr>
    </w:lvl>
    <w:lvl w:ilvl="6">
      <w:start w:val="1"/>
      <w:numFmt w:val="decimal"/>
      <w:lvlText w:val="%1.%2.%3.%4.%5.%6.%7."/>
      <w:lvlJc w:val="left"/>
      <w:pPr>
        <w:ind w:hanging="1800" w:left="12258"/>
      </w:pPr>
    </w:lvl>
    <w:lvl w:ilvl="7">
      <w:start w:val="1"/>
      <w:numFmt w:val="decimal"/>
      <w:lvlText w:val="%1.%2.%3.%4.%5.%6.%7.%8."/>
      <w:lvlJc w:val="left"/>
      <w:pPr>
        <w:ind w:hanging="1800" w:left="14001"/>
      </w:pPr>
    </w:lvl>
    <w:lvl w:ilvl="8">
      <w:start w:val="1"/>
      <w:numFmt w:val="decimal"/>
      <w:lvlText w:val="%1.%2.%3.%4.%5.%6.%7.%8.%9."/>
      <w:lvlJc w:val="left"/>
      <w:pPr>
        <w:ind w:hanging="2160" w:left="16104"/>
      </w:pPr>
    </w:lvl>
  </w:abstractNum>
  <w:abstractNum w:abstractNumId="2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3"/>
      <w:numFmt w:val="decimal"/>
      <w:lvlText w:val="%1.%2."/>
      <w:lvlJc w:val="left"/>
      <w:pPr>
        <w:ind w:hanging="720" w:left="3183"/>
      </w:pPr>
    </w:lvl>
    <w:lvl w:ilvl="2">
      <w:start w:val="1"/>
      <w:numFmt w:val="decimal"/>
      <w:lvlText w:val="%1.%2.%3."/>
      <w:lvlJc w:val="left"/>
      <w:pPr>
        <w:ind w:hanging="720" w:left="5646"/>
      </w:pPr>
    </w:lvl>
    <w:lvl w:ilvl="3">
      <w:start w:val="1"/>
      <w:numFmt w:val="decimal"/>
      <w:lvlText w:val="%1.%2.%3.%4."/>
      <w:lvlJc w:val="left"/>
      <w:pPr>
        <w:ind w:hanging="1080" w:left="8469"/>
      </w:pPr>
    </w:lvl>
    <w:lvl w:ilvl="4">
      <w:start w:val="1"/>
      <w:numFmt w:val="decimal"/>
      <w:lvlText w:val="%1.%2.%3.%4.%5."/>
      <w:lvlJc w:val="left"/>
      <w:pPr>
        <w:ind w:hanging="1080" w:left="10932"/>
      </w:pPr>
    </w:lvl>
    <w:lvl w:ilvl="5">
      <w:start w:val="1"/>
      <w:numFmt w:val="decimal"/>
      <w:lvlText w:val="%1.%2.%3.%4.%5.%6."/>
      <w:lvlJc w:val="left"/>
      <w:pPr>
        <w:ind w:hanging="1440" w:left="13755"/>
      </w:pPr>
    </w:lvl>
    <w:lvl w:ilvl="6">
      <w:start w:val="1"/>
      <w:numFmt w:val="decimal"/>
      <w:lvlText w:val="%1.%2.%3.%4.%5.%6.%7."/>
      <w:lvlJc w:val="left"/>
      <w:pPr>
        <w:ind w:hanging="1800" w:left="16578"/>
      </w:pPr>
    </w:lvl>
    <w:lvl w:ilvl="7">
      <w:start w:val="1"/>
      <w:numFmt w:val="decimal"/>
      <w:lvlText w:val="%1.%2.%3.%4.%5.%6.%7.%8."/>
      <w:lvlJc w:val="left"/>
      <w:pPr>
        <w:ind w:hanging="1800" w:left="19041"/>
      </w:pPr>
    </w:lvl>
    <w:lvl w:ilvl="8">
      <w:start w:val="1"/>
      <w:numFmt w:val="decimal"/>
      <w:lvlText w:val="%1.%2.%3.%4.%5.%6.%7.%8.%9."/>
      <w:lvlJc w:val="left"/>
      <w:pPr>
        <w:ind w:hanging="2160" w:left="2186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текстовая ссылка"/>
    <w:basedOn w:val="Style_12"/>
    <w:link w:val="Style_11_ch"/>
    <w:rPr>
      <w:b w:val="0"/>
      <w:color w:val="106BBE"/>
    </w:rPr>
  </w:style>
  <w:style w:styleId="Style_11_ch" w:type="character">
    <w:name w:val="Гипертекстовая ссылка"/>
    <w:basedOn w:val="Style_12_ch"/>
    <w:link w:val="Style_11"/>
    <w:rPr>
      <w:b w:val="0"/>
      <w:color w:val="106BB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 (2)"/>
    <w:basedOn w:val="Style_3"/>
    <w:link w:val="Style_14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14_ch" w:type="character">
    <w:name w:val="Body text (2)"/>
    <w:basedOn w:val="Style_3_ch"/>
    <w:link w:val="Style_14"/>
    <w:rPr>
      <w:rFonts w:ascii="Times New Roman" w:hAnsi="Times New Roman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6_ch" w:type="character">
    <w:name w:val="heading 1"/>
    <w:basedOn w:val="Style_3_ch"/>
    <w:link w:val="Style_16"/>
    <w:rPr>
      <w:rFonts w:ascii="Times New Roman CYR" w:hAnsi="Times New Roman CYR"/>
      <w:b w:val="1"/>
      <w:color w:val="26282F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header"/>
    <w:basedOn w:val="Style_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3_ch"/>
    <w:link w:val="Style_28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2024-11-26T12:27:50Z</dcterms:modified>
</cp:coreProperties>
</file>