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47307</wp:posOffset>
                </wp:positionH>
                <wp:positionV relativeFrom="page">
                  <wp:posOffset>3171824</wp:posOffset>
                </wp:positionV>
                <wp:extent cx="2752725" cy="151447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52725" cy="15144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3"/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внесении изменений в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Поряд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к предоставления и расходования средств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, переданных из бюджета Пермского края на выполнение отдельных государственных полномочий в сфере образования, утвержденный постановлением администрации Чайковского городского округа от 13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.04.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2022  № 395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311150</wp:posOffset>
                </wp:positionH>
                <wp:positionV relativeFrom="paragraph">
                  <wp:posOffset>1882140</wp:posOffset>
                </wp:positionV>
                <wp:extent cx="1700529" cy="27114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00529" cy="27114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1847850</wp:posOffset>
                </wp:positionV>
                <wp:extent cx="1839595" cy="30543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054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3600" cy="232473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43600" cy="2324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едера</w:t>
      </w:r>
      <w:r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29 декабря 2012 г. № 273-ФЗ «Об образовании в Российской Федерации», </w:t>
      </w:r>
      <w:r>
        <w:rPr>
          <w:rFonts w:ascii="Times New Roman" w:hAnsi="Times New Roman"/>
          <w:sz w:val="28"/>
        </w:rPr>
        <w:t xml:space="preserve">постановлением Правительства Пермского края от 30 мая 2018 г. № 294-п «Об утверждении Порядка предоставления и расходования субвенции из бюджета Пермского края бюджетам муниципальных </w:t>
      </w:r>
      <w:r>
        <w:rPr>
          <w:rFonts w:ascii="Times New Roman" w:hAnsi="Times New Roman"/>
          <w:sz w:val="28"/>
        </w:rPr>
        <w:t>образований</w:t>
      </w:r>
      <w:r>
        <w:rPr>
          <w:rFonts w:ascii="Times New Roman" w:hAnsi="Times New Roman"/>
          <w:sz w:val="28"/>
        </w:rPr>
        <w:t xml:space="preserve"> Пермского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образования, а также дополнительного образования в муниципальных общеобразовательных организациях», постановлением Правительства Пермского края от 14 февраля 2014 г. № 78-п «Об утверждении Порядка предоставления и расходования субвенции из бюджета Пермского края бюджетам муниципальных </w:t>
      </w:r>
      <w:r>
        <w:rPr>
          <w:rFonts w:ascii="Times New Roman" w:hAnsi="Times New Roman"/>
          <w:sz w:val="28"/>
        </w:rPr>
        <w:t>образований</w:t>
      </w:r>
      <w:r>
        <w:rPr>
          <w:rFonts w:ascii="Times New Roman" w:hAnsi="Times New Roman"/>
          <w:sz w:val="28"/>
        </w:rPr>
        <w:t xml:space="preserve"> Пермского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организациях», постановлением Правительства Пермского края от 27 августа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2010 г. № 560-п «</w:t>
      </w:r>
      <w:r>
        <w:rPr>
          <w:rFonts w:ascii="Times New Roman" w:hAnsi="Times New Roman"/>
          <w:sz w:val="28"/>
        </w:rPr>
        <w:t>Об утверждении Порядка предоставления компенсации затрат родителям (законным представителям) по воспитанию и обучению на дому детей-инвалидов дошкольного возраста, которые по состоянию здоровья временно или постоянно не могут посещать муниципальные образовательные организации, реализующие основные образовательные программы дошкольного образования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Уставом Чайковского городского округа, </w:t>
      </w:r>
      <w:r>
        <w:rPr>
          <w:rFonts w:ascii="Times New Roman" w:hAnsi="Times New Roman"/>
          <w:sz w:val="28"/>
        </w:rPr>
        <w:t>постановлением администрации города Чайковского от 15 января 2019 г. № 5/1 «Об утверждении муниципальной программы «Развитие образования Чайковского городского округа</w:t>
      </w:r>
      <w:r>
        <w:rPr>
          <w:rFonts w:ascii="Times New Roman" w:hAnsi="Times New Roman"/>
          <w:sz w:val="28"/>
        </w:rPr>
        <w:t>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pStyle w:val="Style_4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</w:t>
      </w:r>
      <w:r>
        <w:rPr>
          <w:rFonts w:ascii="Times New Roman" w:hAnsi="Times New Roman"/>
          <w:sz w:val="28"/>
        </w:rPr>
        <w:t xml:space="preserve"> Порядок предоставления и расходования средств, переданных из бюджета Пермского края на выполнение отдельных государственных</w:t>
      </w:r>
      <w:r>
        <w:rPr>
          <w:rFonts w:ascii="Times New Roman" w:hAnsi="Times New Roman"/>
          <w:sz w:val="28"/>
        </w:rPr>
        <w:t xml:space="preserve"> полномочий в сфере образования, утвержденный постановлением администрации Чайковского городского округа от 13 апреля 2022 г. № </w:t>
      </w:r>
      <w:r>
        <w:rPr>
          <w:rFonts w:ascii="Times New Roman" w:hAnsi="Times New Roman"/>
          <w:sz w:val="28"/>
        </w:rPr>
        <w:t>395 (в ред</w:t>
      </w:r>
      <w:r>
        <w:rPr>
          <w:rFonts w:ascii="Times New Roman" w:hAnsi="Times New Roman"/>
          <w:sz w:val="28"/>
        </w:rPr>
        <w:t>акции</w:t>
      </w:r>
      <w:r>
        <w:rPr>
          <w:rFonts w:ascii="Times New Roman" w:hAnsi="Times New Roman"/>
          <w:sz w:val="28"/>
        </w:rPr>
        <w:t xml:space="preserve">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Чайковского городского округа от 15 декабря 2022 г. № 1384</w:t>
      </w:r>
      <w:r>
        <w:rPr>
          <w:rFonts w:ascii="Times New Roman" w:hAnsi="Times New Roman"/>
          <w:sz w:val="28"/>
        </w:rPr>
        <w:t>, от 18 декабря 2023 г. № 1198</w:t>
      </w:r>
      <w:r>
        <w:rPr>
          <w:rFonts w:ascii="Times New Roman" w:hAnsi="Times New Roman"/>
          <w:sz w:val="28"/>
        </w:rPr>
        <w:t xml:space="preserve">), следующие изменения: </w:t>
      </w:r>
    </w:p>
    <w:p w14:paraId="13000000">
      <w:pPr>
        <w:pStyle w:val="Style_4"/>
        <w:numPr>
          <w:ilvl w:val="1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пункте 1.11 </w:t>
      </w:r>
      <w:r>
        <w:rPr>
          <w:rFonts w:ascii="Times New Roman" w:hAnsi="Times New Roman"/>
          <w:sz w:val="28"/>
        </w:rPr>
        <w:t xml:space="preserve">цифры </w:t>
      </w:r>
      <w:r>
        <w:rPr>
          <w:rFonts w:ascii="Times New Roman" w:hAnsi="Times New Roman"/>
          <w:sz w:val="28"/>
        </w:rPr>
        <w:t>«1,</w:t>
      </w:r>
      <w:r>
        <w:rPr>
          <w:rFonts w:ascii="Times New Roman" w:hAnsi="Times New Roman"/>
          <w:sz w:val="28"/>
        </w:rPr>
        <w:t>87</w:t>
      </w:r>
      <w:r>
        <w:rPr>
          <w:rFonts w:ascii="Times New Roman" w:hAnsi="Times New Roman"/>
          <w:sz w:val="28"/>
        </w:rPr>
        <w:t xml:space="preserve">%» заменить </w:t>
      </w:r>
      <w:r>
        <w:rPr>
          <w:rFonts w:ascii="Times New Roman" w:hAnsi="Times New Roman"/>
          <w:sz w:val="28"/>
        </w:rPr>
        <w:t>цифрами</w:t>
      </w:r>
      <w:r>
        <w:rPr>
          <w:rFonts w:ascii="Times New Roman" w:hAnsi="Times New Roman"/>
          <w:sz w:val="28"/>
        </w:rPr>
        <w:t xml:space="preserve"> «1,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>»;</w:t>
      </w:r>
    </w:p>
    <w:p w14:paraId="14000000">
      <w:pPr>
        <w:pStyle w:val="Style_4"/>
        <w:numPr>
          <w:ilvl w:val="1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2.1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дополнить абзацем следующего содержания:</w:t>
      </w:r>
    </w:p>
    <w:p w14:paraId="15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«Соглашением устанавливается план мероприятий по достижению результатов предоставления субсидии</w:t>
      </w:r>
      <w:r>
        <w:rPr>
          <w:rFonts w:ascii="Times New Roman" w:hAnsi="Times New Roman"/>
          <w:sz w:val="28"/>
        </w:rPr>
        <w:t>.»;</w:t>
      </w:r>
    </w:p>
    <w:p w14:paraId="16000000">
      <w:pPr>
        <w:pStyle w:val="Style_4"/>
        <w:numPr>
          <w:ilvl w:val="1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4.3. дополнить абзацем следующего содержания:</w:t>
      </w:r>
    </w:p>
    <w:p w14:paraId="17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«Мониторинг </w:t>
      </w:r>
      <w:r>
        <w:rPr>
          <w:rFonts w:ascii="Times New Roman" w:hAnsi="Times New Roman"/>
          <w:sz w:val="28"/>
        </w:rPr>
        <w:t>достижения значений результатов предоставления субсидии</w:t>
      </w:r>
      <w:r>
        <w:rPr>
          <w:rFonts w:ascii="Times New Roman" w:hAnsi="Times New Roman"/>
          <w:sz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финансов Российской Федерации.».</w:t>
      </w:r>
    </w:p>
    <w:p w14:paraId="18000000">
      <w:pPr>
        <w:widowControl w:val="0"/>
        <w:tabs>
          <w:tab w:leader="none" w:pos="12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Опубликовать постановление в газете «Огни Камы» и разместить на официальном сайте администрации Чайковского </w:t>
      </w:r>
      <w:r>
        <w:rPr>
          <w:rFonts w:ascii="Times New Roman" w:hAnsi="Times New Roman"/>
          <w:sz w:val="28"/>
        </w:rPr>
        <w:t>городского округа.</w:t>
      </w:r>
    </w:p>
    <w:p w14:paraId="1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вступает в силу </w:t>
      </w:r>
      <w:r>
        <w:rPr>
          <w:rFonts w:ascii="Times New Roman" w:hAnsi="Times New Roman"/>
          <w:sz w:val="28"/>
        </w:rPr>
        <w:t>после его официального опубликования и распространяется на правоотношения, возникшие с 1 января 2024 г., кроме пункт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1.1, </w:t>
      </w:r>
      <w:r>
        <w:rPr>
          <w:rFonts w:ascii="Times New Roman" w:hAnsi="Times New Roman"/>
          <w:sz w:val="28"/>
        </w:rPr>
        <w:t>1.3. настоящего постановления.</w:t>
      </w:r>
    </w:p>
    <w:p w14:paraId="1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Пункт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1.1., </w:t>
      </w:r>
      <w:r>
        <w:rPr>
          <w:rFonts w:ascii="Times New Roman" w:hAnsi="Times New Roman"/>
          <w:sz w:val="28"/>
        </w:rPr>
        <w:t xml:space="preserve">1.3. постановления </w:t>
      </w:r>
      <w:r>
        <w:rPr>
          <w:rFonts w:ascii="Times New Roman" w:hAnsi="Times New Roman"/>
          <w:sz w:val="28"/>
        </w:rPr>
        <w:t>вступа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 в силу</w:t>
      </w:r>
      <w:r>
        <w:rPr>
          <w:rFonts w:ascii="Times New Roman" w:hAnsi="Times New Roman"/>
          <w:sz w:val="28"/>
        </w:rPr>
        <w:t xml:space="preserve"> с 1 января 2025 г.</w:t>
      </w:r>
    </w:p>
    <w:p w14:paraId="1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0" w:val="left"/>
          <w:tab w:leader="none" w:pos="1134" w:val="left"/>
        </w:tabs>
        <w:spacing w:after="0" w:line="360" w:lineRule="exact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городского округа – </w:t>
      </w:r>
    </w:p>
    <w:p w14:paraId="1F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20000000">
      <w:pPr>
        <w:spacing w:after="0" w:line="240" w:lineRule="exact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Чайковского городског</w:t>
      </w:r>
      <w:bookmarkStart w:id="1" w:name="_GoBack"/>
      <w:bookmarkEnd w:id="1"/>
      <w:r>
        <w:rPr>
          <w:rFonts w:ascii="Times New Roman" w:hAnsi="Times New Roman"/>
          <w:sz w:val="28"/>
        </w:rPr>
        <w:t>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А.В. Агафонов</w:t>
      </w:r>
    </w:p>
    <w:sectPr>
      <w:headerReference r:id="rId1" w:type="default"/>
      <w:footerReference r:id="rId2" w:type="default"/>
      <w:pgSz w:h="16838" w:orient="portrait" w:w="11906"/>
      <w:pgMar w:bottom="1134" w:footer="408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25.11.2024 Срок  приема заключений независимых экспертов до 04.12.2024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35" w:left="1743"/>
      </w:pPr>
    </w:lvl>
    <w:lvl w:ilvl="1">
      <w:start w:val="4"/>
      <w:numFmt w:val="decimal"/>
      <w:lvlText w:val="%1.%2."/>
      <w:lvlJc w:val="left"/>
      <w:pPr>
        <w:ind w:hanging="720" w:left="1428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1080" w:left="178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440" w:left="2148"/>
      </w:pPr>
    </w:lvl>
    <w:lvl w:ilvl="6">
      <w:start w:val="1"/>
      <w:numFmt w:val="decimal"/>
      <w:lvlText w:val="%1.%2.%3.%4.%5.%6.%7."/>
      <w:lvlJc w:val="left"/>
      <w:pPr>
        <w:ind w:hanging="1800" w:left="2508"/>
      </w:pPr>
    </w:lvl>
    <w:lvl w:ilvl="7">
      <w:start w:val="1"/>
      <w:numFmt w:val="decimal"/>
      <w:lvlText w:val="%1.%2.%3.%4.%5.%6.%7.%8."/>
      <w:lvlJc w:val="left"/>
      <w:pPr>
        <w:ind w:hanging="1800" w:left="2508"/>
      </w:pPr>
    </w:lvl>
    <w:lvl w:ilvl="8">
      <w:start w:val="1"/>
      <w:numFmt w:val="decimal"/>
      <w:lvlText w:val="%1.%2.%3.%4.%5.%6.%7.%8.%9."/>
      <w:lvlJc w:val="left"/>
      <w:pPr>
        <w:ind w:hanging="2160" w:left="2868"/>
      </w:pPr>
    </w:lvl>
  </w:abstractNum>
  <w:abstractNum w:abstractNumId="1">
    <w:lvl w:ilvl="0">
      <w:start w:val="1"/>
      <w:numFmt w:val="decimal"/>
      <w:lvlText w:val="%1."/>
      <w:lvlJc w:val="left"/>
      <w:pPr>
        <w:ind w:hanging="525" w:left="525"/>
      </w:p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 (2)"/>
    <w:basedOn w:val="Style_3"/>
    <w:link w:val="Style_11_ch"/>
    <w:pPr>
      <w:widowControl w:val="0"/>
      <w:spacing w:after="0" w:before="1320" w:line="355" w:lineRule="exact"/>
      <w:ind/>
      <w:jc w:val="both"/>
    </w:pPr>
    <w:rPr>
      <w:rFonts w:ascii="Times New Roman" w:hAnsi="Times New Roman"/>
      <w:sz w:val="28"/>
    </w:rPr>
  </w:style>
  <w:style w:styleId="Style_11_ch" w:type="character">
    <w:name w:val="Body text (2)"/>
    <w:basedOn w:val="Style_3_ch"/>
    <w:link w:val="Style_11"/>
    <w:rPr>
      <w:rFonts w:ascii="Times New Roman" w:hAnsi="Times New Roman"/>
      <w:sz w:val="28"/>
    </w:rPr>
  </w:style>
  <w:style w:styleId="Style_12" w:type="paragraph">
    <w:name w:val="ConsPlusNormal"/>
    <w:link w:val="Style_12_ch"/>
    <w:rPr>
      <w:rFonts w:ascii="Times New Roman" w:hAnsi="Times New Roman"/>
      <w:sz w:val="28"/>
    </w:rPr>
  </w:style>
  <w:style w:styleId="Style_12_ch" w:type="character">
    <w:name w:val="ConsPlusNormal"/>
    <w:link w:val="Style_12"/>
    <w:rPr>
      <w:rFonts w:ascii="Times New Roman" w:hAnsi="Times New Roman"/>
      <w:sz w:val="28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3_ch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16_ch" w:type="character">
    <w:name w:val="heading 1"/>
    <w:basedOn w:val="Style_3_ch"/>
    <w:link w:val="Style_16"/>
    <w:rPr>
      <w:rFonts w:ascii="Times New Roman CYR" w:hAnsi="Times New Roman CYR"/>
      <w:b w:val="1"/>
      <w:color w:val="26282F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Гипертекстовая ссылка"/>
    <w:basedOn w:val="Style_17"/>
    <w:link w:val="Style_21_ch"/>
    <w:rPr>
      <w:b w:val="0"/>
      <w:color w:val="106BBE"/>
    </w:rPr>
  </w:style>
  <w:style w:styleId="Style_21_ch" w:type="character">
    <w:name w:val="Гипертекстовая ссылка"/>
    <w:basedOn w:val="Style_17_ch"/>
    <w:link w:val="Style_21"/>
    <w:rPr>
      <w:b w:val="0"/>
      <w:color w:val="106BBE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2024-11-25T12:32:13Z</dcterms:modified>
</cp:coreProperties>
</file>