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311150</wp:posOffset>
                </wp:positionH>
                <wp:positionV relativeFrom="paragraph">
                  <wp:posOffset>1882140</wp:posOffset>
                </wp:positionV>
                <wp:extent cx="1700529" cy="27114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00529" cy="27114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1847850</wp:posOffset>
                </wp:positionV>
                <wp:extent cx="1839595" cy="30543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054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3600" cy="232473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3600" cy="2324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37782</wp:posOffset>
                </wp:positionH>
                <wp:positionV relativeFrom="page">
                  <wp:posOffset>3209924</wp:posOffset>
                </wp:positionV>
                <wp:extent cx="2798445" cy="200977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98445" cy="20097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pStyle w:val="Style_2"/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внесении изменений в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Поряд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к предоставления и расходования средств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, утвержденный постановлением администрации Чайковского городского округа от 28.03.2022 № 311</w:t>
                            </w:r>
                          </w:p>
                          <w:p w14:paraId="08000000">
                            <w:pPr>
                              <w:pStyle w:val="Style_2"/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360" w:lineRule="exact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widowControl w:val="0"/>
        <w:spacing w:after="0" w:line="360" w:lineRule="exact"/>
        <w:ind w:firstLine="709" w:left="0"/>
        <w:jc w:val="center"/>
        <w:rPr>
          <w:rFonts w:ascii="Times New Roman" w:hAnsi="Times New Roman"/>
          <w:sz w:val="28"/>
        </w:rPr>
      </w:pPr>
    </w:p>
    <w:p w14:paraId="0F000000">
      <w:pPr>
        <w:widowControl w:val="0"/>
        <w:spacing w:after="0" w:line="360" w:lineRule="exact"/>
        <w:ind w:firstLine="709" w:left="0"/>
        <w:jc w:val="center"/>
        <w:rPr>
          <w:rFonts w:ascii="Times New Roman" w:hAnsi="Times New Roman"/>
          <w:sz w:val="28"/>
        </w:rPr>
      </w:pPr>
    </w:p>
    <w:p w14:paraId="10000000">
      <w:pPr>
        <w:widowControl w:val="0"/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widowControl w:val="0"/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78.1 Бюджетного кодекса Российской Федерации, </w:t>
      </w: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>
        <w:rPr>
          <w:rFonts w:ascii="Times New Roman" w:hAnsi="Times New Roman"/>
          <w:sz w:val="28"/>
        </w:rPr>
        <w:t xml:space="preserve">постановлением Правительства Пермского края от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ию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я 2020 г. № </w:t>
      </w:r>
      <w:r>
        <w:rPr>
          <w:rFonts w:ascii="Times New Roman" w:hAnsi="Times New Roman"/>
          <w:sz w:val="28"/>
        </w:rPr>
        <w:t>482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Порядка предоставления и расходования иных межбюджетных трансфертов из бюджета Пермского края с участием средств федерального бюджета бюджетам муниципальных </w:t>
      </w:r>
      <w:r>
        <w:rPr>
          <w:rFonts w:ascii="Times New Roman" w:hAnsi="Times New Roman"/>
          <w:sz w:val="28"/>
        </w:rPr>
        <w:t>образований</w:t>
      </w:r>
      <w:r>
        <w:rPr>
          <w:rFonts w:ascii="Times New Roman" w:hAnsi="Times New Roman"/>
          <w:sz w:val="28"/>
        </w:rPr>
        <w:t xml:space="preserve"> Пермского края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Уставом Чайковского городского округа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постановлением администрации города Чайковского от 17 января 2019 г.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8/1 «Об утверждении муниципальной программы «Социальная поддержка граждан </w:t>
      </w:r>
      <w:r>
        <w:rPr>
          <w:rFonts w:ascii="Times New Roman" w:hAnsi="Times New Roman"/>
          <w:sz w:val="28"/>
        </w:rPr>
        <w:t>Чайковского городского округа»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5000000">
      <w:pPr>
        <w:pStyle w:val="Style_3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>Порядок предоставления и расходования средств на реализацию мероприятий по организации бесплатного горячего питания обучающихся, получающих начальное общее образование в муниципальн</w:t>
      </w:r>
      <w:r>
        <w:rPr>
          <w:rFonts w:ascii="Times New Roman" w:hAnsi="Times New Roman"/>
          <w:sz w:val="28"/>
        </w:rPr>
        <w:t xml:space="preserve">ых образовательных организациях, </w:t>
      </w:r>
      <w:r>
        <w:rPr>
          <w:rFonts w:ascii="Times New Roman" w:hAnsi="Times New Roman"/>
          <w:sz w:val="28"/>
        </w:rPr>
        <w:t>утвержденный постановлением администрации Чайковского городского округа от 28</w:t>
      </w:r>
      <w:r>
        <w:rPr>
          <w:rFonts w:ascii="Times New Roman" w:hAnsi="Times New Roman"/>
          <w:sz w:val="28"/>
        </w:rPr>
        <w:t xml:space="preserve"> марта 2022 г. </w:t>
      </w:r>
      <w:r>
        <w:rPr>
          <w:rFonts w:ascii="Times New Roman" w:hAnsi="Times New Roman"/>
          <w:sz w:val="28"/>
        </w:rPr>
        <w:t>№ 311</w:t>
      </w:r>
      <w:r>
        <w:rPr>
          <w:rFonts w:ascii="Times New Roman" w:hAnsi="Times New Roman"/>
          <w:sz w:val="28"/>
        </w:rPr>
        <w:t xml:space="preserve"> (в редакции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администрации Ча</w:t>
      </w:r>
      <w:r>
        <w:rPr>
          <w:rFonts w:ascii="Times New Roman" w:hAnsi="Times New Roman"/>
          <w:sz w:val="28"/>
        </w:rPr>
        <w:t xml:space="preserve">йковского городского округа от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декабря </w:t>
      </w:r>
      <w:r>
        <w:rPr>
          <w:rFonts w:ascii="Times New Roman" w:hAnsi="Times New Roman"/>
          <w:sz w:val="28"/>
        </w:rPr>
        <w:t xml:space="preserve">2023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№ 1173, от 11</w:t>
      </w:r>
      <w:r>
        <w:rPr>
          <w:rFonts w:ascii="Times New Roman" w:hAnsi="Times New Roman"/>
          <w:sz w:val="28"/>
        </w:rPr>
        <w:t xml:space="preserve"> марта </w:t>
      </w:r>
      <w:r>
        <w:rPr>
          <w:rFonts w:ascii="Times New Roman" w:hAnsi="Times New Roman"/>
          <w:sz w:val="28"/>
        </w:rPr>
        <w:t xml:space="preserve">2024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№ 239</w:t>
      </w:r>
      <w:r>
        <w:rPr>
          <w:rFonts w:ascii="Times New Roman" w:hAnsi="Times New Roman"/>
          <w:sz w:val="28"/>
        </w:rPr>
        <w:t>), следующие изменения:</w:t>
      </w:r>
    </w:p>
    <w:p w14:paraId="16000000">
      <w:pPr>
        <w:pStyle w:val="Style_3"/>
        <w:numPr>
          <w:ilvl w:val="1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1.2. </w:t>
      </w:r>
      <w:r>
        <w:rPr>
          <w:rFonts w:ascii="Times New Roman" w:hAnsi="Times New Roman"/>
          <w:color w:val="000000"/>
          <w:sz w:val="28"/>
        </w:rPr>
        <w:t>изложить в следующей редакции:</w:t>
      </w:r>
    </w:p>
    <w:p w14:paraId="1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«1.2. </w:t>
      </w:r>
      <w:r>
        <w:rPr>
          <w:rFonts w:ascii="Times New Roman" w:hAnsi="Times New Roman"/>
          <w:sz w:val="28"/>
        </w:rPr>
        <w:t>Средства предоставляются в целях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 исключением обучающихся с ограниченными возможностями здоровья, проживающих в организациях, осуществляющих образовательную деятельность по адаптированным основным общеобразовательным программам, и обучающихся с ограниченными возможностями здоровья, обучение которых организовано образовательными организациями на дому по медицинским заключениям</w:t>
      </w:r>
      <w:r>
        <w:rPr>
          <w:rFonts w:ascii="Times New Roman" w:hAnsi="Times New Roman"/>
          <w:sz w:val="28"/>
        </w:rPr>
        <w:t xml:space="preserve"> (далее – обучающиеся, образовательные организации).</w:t>
      </w:r>
      <w:r>
        <w:rPr>
          <w:rFonts w:ascii="Times New Roman" w:hAnsi="Times New Roman"/>
          <w:sz w:val="28"/>
        </w:rPr>
        <w:t>»;</w:t>
      </w:r>
    </w:p>
    <w:p w14:paraId="18000000">
      <w:pPr>
        <w:pStyle w:val="Style_3"/>
        <w:numPr>
          <w:ilvl w:val="1"/>
          <w:numId w:val="2"/>
        </w:num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 изложить в следующей редакции: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«2.14. </w:t>
      </w:r>
      <w:r>
        <w:rPr>
          <w:rFonts w:ascii="Times New Roman" w:hAnsi="Times New Roman"/>
          <w:sz w:val="28"/>
        </w:rPr>
        <w:t>Показател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м результативности использования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явля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численность обучающихся, обеспеченных бесплатным горячим питанием</w:t>
      </w:r>
      <w:r>
        <w:rPr>
          <w:rFonts w:ascii="Times New Roman" w:hAnsi="Times New Roman"/>
          <w:sz w:val="28"/>
        </w:rPr>
        <w:t>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Соглашением устанавливается план мероприятий по достижению результатов предоставления субсидии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14:paraId="1B000000">
      <w:pPr>
        <w:pStyle w:val="Style_3"/>
        <w:numPr>
          <w:ilvl w:val="1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4.3. дополнить абзацем</w:t>
      </w:r>
      <w:r>
        <w:rPr>
          <w:rFonts w:ascii="Times New Roman" w:hAnsi="Times New Roman"/>
          <w:sz w:val="28"/>
        </w:rPr>
        <w:t xml:space="preserve"> вторым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Федерации.».</w:t>
      </w:r>
    </w:p>
    <w:p w14:paraId="1D000000">
      <w:pPr>
        <w:widowControl w:val="0"/>
        <w:tabs>
          <w:tab w:leader="none" w:pos="12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Опубликовать постановление в газете «Огни Камы» и разместить на официальном сайте администрации Чайковского </w:t>
      </w:r>
      <w:r>
        <w:rPr>
          <w:rFonts w:ascii="Times New Roman" w:hAnsi="Times New Roman"/>
          <w:sz w:val="28"/>
        </w:rPr>
        <w:t>городского округа.</w:t>
      </w:r>
    </w:p>
    <w:p w14:paraId="1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вступает в силу </w:t>
      </w:r>
      <w:r>
        <w:rPr>
          <w:rFonts w:ascii="Times New Roman" w:hAnsi="Times New Roman"/>
          <w:sz w:val="28"/>
        </w:rPr>
        <w:t xml:space="preserve">после его официального опубликования и распространяется на правоотношения, возникшие </w:t>
      </w:r>
      <w:r>
        <w:rPr>
          <w:rFonts w:ascii="Times New Roman" w:hAnsi="Times New Roman"/>
          <w:sz w:val="28"/>
        </w:rPr>
        <w:t>с 1 января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>, кроме пункта 1.3. настоящего постановления.</w:t>
      </w:r>
      <w:r>
        <w:rPr>
          <w:rFonts w:ascii="Times New Roman" w:hAnsi="Times New Roman"/>
          <w:sz w:val="28"/>
        </w:rPr>
        <w:t xml:space="preserve"> </w:t>
      </w:r>
    </w:p>
    <w:p w14:paraId="1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Пункт 1.3. постановления </w:t>
      </w:r>
      <w:r>
        <w:rPr>
          <w:rFonts w:ascii="Times New Roman" w:hAnsi="Times New Roman"/>
          <w:sz w:val="28"/>
        </w:rPr>
        <w:t>вступает в силу</w:t>
      </w:r>
      <w:r>
        <w:rPr>
          <w:rFonts w:ascii="Times New Roman" w:hAnsi="Times New Roman"/>
          <w:sz w:val="28"/>
        </w:rPr>
        <w:t xml:space="preserve"> с 1 января 2025 г.</w:t>
      </w:r>
    </w:p>
    <w:p w14:paraId="20000000">
      <w:pPr>
        <w:tabs>
          <w:tab w:leader="none" w:pos="0" w:val="left"/>
          <w:tab w:leader="none" w:pos="1134" w:val="left"/>
        </w:tabs>
        <w:spacing w:after="0" w:line="360" w:lineRule="exact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0" w:val="left"/>
          <w:tab w:leader="none" w:pos="1134" w:val="left"/>
        </w:tabs>
        <w:spacing w:after="0" w:line="360" w:lineRule="exact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городского округа – </w:t>
      </w:r>
    </w:p>
    <w:p w14:paraId="23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24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Агафонов</w:t>
      </w:r>
    </w:p>
    <w:sectPr>
      <w:headerReference r:id="rId1" w:type="default"/>
      <w:footerReference r:id="rId2" w:type="default"/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25.11.2024 Срок  приема заключений независимых экспертов до 04.12.2024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35" w:left="1743"/>
      </w:pPr>
    </w:lvl>
    <w:lvl w:ilvl="1">
      <w:start w:val="4"/>
      <w:numFmt w:val="decimal"/>
      <w:lvlText w:val="%1.%2."/>
      <w:lvlJc w:val="left"/>
      <w:pPr>
        <w:ind w:hanging="720" w:left="1428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1080" w:left="178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440" w:left="2148"/>
      </w:pPr>
    </w:lvl>
    <w:lvl w:ilvl="6">
      <w:start w:val="1"/>
      <w:numFmt w:val="decimal"/>
      <w:lvlText w:val="%1.%2.%3.%4.%5.%6.%7."/>
      <w:lvlJc w:val="left"/>
      <w:pPr>
        <w:ind w:hanging="1800" w:left="2508"/>
      </w:pPr>
    </w:lvl>
    <w:lvl w:ilvl="7">
      <w:start w:val="1"/>
      <w:numFmt w:val="decimal"/>
      <w:lvlText w:val="%1.%2.%3.%4.%5.%6.%7.%8."/>
      <w:lvlJc w:val="left"/>
      <w:pPr>
        <w:ind w:hanging="1800" w:left="2508"/>
      </w:pPr>
    </w:lvl>
    <w:lvl w:ilvl="8">
      <w:start w:val="1"/>
      <w:numFmt w:val="decimal"/>
      <w:lvlText w:val="%1.%2.%3.%4.%5.%6.%7.%8.%9."/>
      <w:lvlJc w:val="left"/>
      <w:pPr>
        <w:ind w:hanging="2160" w:left="2868"/>
      </w:pPr>
    </w:lvl>
  </w:abstractNum>
  <w:abstractNum w:abstractNumId="1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2463"/>
      </w:pPr>
    </w:lvl>
    <w:lvl w:ilvl="2">
      <w:start w:val="1"/>
      <w:numFmt w:val="decimal"/>
      <w:lvlText w:val="%1.%2.%3."/>
      <w:lvlJc w:val="left"/>
      <w:pPr>
        <w:ind w:hanging="720" w:left="4206"/>
      </w:pPr>
    </w:lvl>
    <w:lvl w:ilvl="3">
      <w:start w:val="1"/>
      <w:numFmt w:val="decimal"/>
      <w:lvlText w:val="%1.%2.%3.%4."/>
      <w:lvlJc w:val="left"/>
      <w:pPr>
        <w:ind w:hanging="1080" w:left="6309"/>
      </w:pPr>
    </w:lvl>
    <w:lvl w:ilvl="4">
      <w:start w:val="1"/>
      <w:numFmt w:val="decimal"/>
      <w:lvlText w:val="%1.%2.%3.%4.%5."/>
      <w:lvlJc w:val="left"/>
      <w:pPr>
        <w:ind w:hanging="1080" w:left="8052"/>
      </w:pPr>
    </w:lvl>
    <w:lvl w:ilvl="5">
      <w:start w:val="1"/>
      <w:numFmt w:val="decimal"/>
      <w:lvlText w:val="%1.%2.%3.%4.%5.%6."/>
      <w:lvlJc w:val="left"/>
      <w:pPr>
        <w:ind w:hanging="1440" w:left="10155"/>
      </w:pPr>
    </w:lvl>
    <w:lvl w:ilvl="6">
      <w:start w:val="1"/>
      <w:numFmt w:val="decimal"/>
      <w:lvlText w:val="%1.%2.%3.%4.%5.%6.%7."/>
      <w:lvlJc w:val="left"/>
      <w:pPr>
        <w:ind w:hanging="1800" w:left="12258"/>
      </w:pPr>
    </w:lvl>
    <w:lvl w:ilvl="7">
      <w:start w:val="1"/>
      <w:numFmt w:val="decimal"/>
      <w:lvlText w:val="%1.%2.%3.%4.%5.%6.%7.%8."/>
      <w:lvlJc w:val="left"/>
      <w:pPr>
        <w:ind w:hanging="1800" w:left="14001"/>
      </w:pPr>
    </w:lvl>
    <w:lvl w:ilvl="8">
      <w:start w:val="1"/>
      <w:numFmt w:val="decimal"/>
      <w:lvlText w:val="%1.%2.%3.%4.%5.%6.%7.%8.%9."/>
      <w:lvlJc w:val="left"/>
      <w:pPr>
        <w:ind w:hanging="2160" w:left="1610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4" w:type="paragraph">
    <w:name w:val="Balloon Text"/>
    <w:basedOn w:val="Style_2"/>
    <w:link w:val="Style_4_ch"/>
    <w:pPr>
      <w:spacing w:after="0" w:line="240" w:lineRule="auto"/>
      <w:ind/>
    </w:pPr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List Paragraph"/>
    <w:basedOn w:val="Style_2"/>
    <w:link w:val="Style_3_ch"/>
    <w:pPr>
      <w:ind w:firstLine="0" w:left="720"/>
      <w:contextualSpacing w:val="1"/>
    </w:pPr>
  </w:style>
  <w:style w:styleId="Style_3_ch" w:type="character">
    <w:name w:val="List Paragraph"/>
    <w:basedOn w:val="Style_2_ch"/>
    <w:link w:val="Style_3"/>
  </w:style>
  <w:style w:styleId="Style_11" w:type="paragraph">
    <w:name w:val="footer"/>
    <w:basedOn w:val="Style_2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2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15_ch" w:type="character">
    <w:name w:val="heading 1"/>
    <w:basedOn w:val="Style_2_ch"/>
    <w:link w:val="Style_15"/>
    <w:rPr>
      <w:rFonts w:ascii="Times New Roman CYR" w:hAnsi="Times New Roman CYR"/>
      <w:b w:val="1"/>
      <w:color w:val="26282F"/>
      <w:sz w:val="24"/>
    </w:rPr>
  </w:style>
  <w:style w:styleId="Style_16" w:type="paragraph">
    <w:name w:val="header"/>
    <w:basedOn w:val="Style_2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2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Гипертекстовая ссылка"/>
    <w:basedOn w:val="Style_13"/>
    <w:link w:val="Style_22_ch"/>
    <w:rPr>
      <w:b w:val="0"/>
      <w:color w:val="106BBE"/>
    </w:rPr>
  </w:style>
  <w:style w:styleId="Style_22_ch" w:type="character">
    <w:name w:val="Гипертекстовая ссылка"/>
    <w:basedOn w:val="Style_13_ch"/>
    <w:link w:val="Style_22"/>
    <w:rPr>
      <w:b w:val="0"/>
      <w:color w:val="106BBE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ody text (2)"/>
    <w:basedOn w:val="Style_2"/>
    <w:link w:val="Style_24_ch"/>
    <w:pPr>
      <w:widowControl w:val="0"/>
      <w:spacing w:after="0" w:before="1320" w:line="355" w:lineRule="exact"/>
      <w:ind/>
      <w:jc w:val="both"/>
    </w:pPr>
    <w:rPr>
      <w:rFonts w:ascii="Times New Roman" w:hAnsi="Times New Roman"/>
      <w:sz w:val="28"/>
    </w:rPr>
  </w:style>
  <w:style w:styleId="Style_24_ch" w:type="character">
    <w:name w:val="Body text (2)"/>
    <w:basedOn w:val="Style_2_ch"/>
    <w:link w:val="Style_24"/>
    <w:rPr>
      <w:rFonts w:ascii="Times New Roman" w:hAnsi="Times New Roman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2024-11-25T12:17:12Z</dcterms:modified>
</cp:coreProperties>
</file>