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C8485A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8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82.75pt;width:198pt;height:108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jCqwIAAKo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IVqfvdApO9x24mQG2ocuOqe7uZPlVIyHXDRE7eqOU7BtKKsgutDf9s6sj&#10;jrYg2/6DrCAM2RvpgIZatbZ0UAwE6NClx1NnbColbEazMJ4HcFTCWXi5CO3CxiDpdL1T2ryjskXW&#10;yLCC1jt4crjTZnSdXGw0IQvGOeyTlItnG4A57kBwuGrPbBqumz+SINksN8vYi6P5xouDPPduinXs&#10;zYtwMcsv8/U6D3/auGGcNqyqqLBhJmWF8Z917qjxURMnbWnJWWXhbEpa7bZrrtCBgLIL9x0Lcubm&#10;P0/D1Qu4vKAURnFwGyVeMV8uvLiIZ16yCJZeECa3yTyIkzgvnlO6Y4L+OyXUZziZRbNRTb/lFrjv&#10;NTeStszA7OCszfDy5ERSq8GNqFxrDWF8tM9KYdN/KgW0e2q0U6wV6ShXM2wHQLEy3srqEbSrJCgL&#10;VAgDD4xGqu8Y9TA8Mqy/7YmiGPH3AvRvJ81kqMnYTgYRJVzNsMFoNNdmnEj7TrFdA8jjCxPyBt5I&#10;zZx6n7I4viwYCI7EcXjZiXO+dl5PI3b1CwAA//8DAFBLAwQUAAYACAAAACEAvLmVqt8AAAALAQAA&#10;DwAAAGRycy9kb3ducmV2LnhtbEyPwU7DMBBE70j8g7VI3KgNlLQJcaoKwQkJkYYDRyfeJlHjdYjd&#10;Nvw9ywluM9rR7Jt8M7tBnHAKvScNtwsFAqnxtqdWw0f1crMGEaIhawZPqOEbA2yKy4vcZNafqcTT&#10;LraCSyhkRkMX45hJGZoOnQkLPyLxbe8nZyLbqZV2Mmcud4O8UyqRzvTEHzoz4lOHzWF3dBq2n1Q+&#10;919v9Xu5L/uqShW9Jgetr6/m7SOIiHP8C8MvPqNDwUy1P5INYmC/WvKWqGG5vmfBiYeVYlFrSNJU&#10;gSxy+X9D8QMAAP//AwBQSwECLQAUAAYACAAAACEAtoM4kv4AAADhAQAAEwAAAAAAAAAAAAAAAAAA&#10;AAAAW0NvbnRlbnRfVHlwZXNdLnhtbFBLAQItABQABgAIAAAAIQA4/SH/1gAAAJQBAAALAAAAAAAA&#10;AAAAAAAAAC8BAABfcmVscy8ucmVsc1BLAQItABQABgAIAAAAIQCQinjCqwIAAKoFAAAOAAAAAAAA&#10;AAAAAAAAAC4CAABkcnMvZTJvRG9jLnhtbFBLAQItABQABgAIAAAAIQC8uZWq3wAAAAsBAAAPAAAA&#10;AAAAAAAAAAAAAAUFAABkcnMvZG93bnJldi54bWxQSwUGAAAAAAQABADzAAAAEQYAAAAA&#10;" filled="f" stroked="f">
            <v:textbox inset="0,0,0,0">
              <w:txbxContent>
                <w:p w:rsidR="00E96E68" w:rsidRPr="003A6AD2" w:rsidRDefault="00E96E68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администрации города Чайковского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от 21.01.2019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г.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№ 12/1</w:t>
                  </w:r>
                </w:p>
                <w:bookmarkEnd w:id="0"/>
                <w:p w:rsidR="00E96E68" w:rsidRPr="002F5303" w:rsidRDefault="00E96E68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8485A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E96E68" w:rsidRPr="00C922CB" w:rsidRDefault="00E96E6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8485A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E96E68" w:rsidRPr="00D43689" w:rsidRDefault="00E96E6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6814" w:rsidRDefault="004D6814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E68" w:rsidRDefault="00E96E68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E68" w:rsidRDefault="00E96E68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6E" w:rsidRDefault="003A6A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28 июня 2014 г. № 172-ФЗ</w:t>
      </w:r>
      <w:r w:rsidR="00DE0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«О стратегическом планировании в Российской Федерации», Уставом Чайковского городского округа, </w:t>
      </w:r>
      <w:r w:rsidR="005C74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>ешением Думы Чайковского городского округ</w:t>
      </w:r>
      <w:r w:rsidR="00F32D2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C74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74C1" w:rsidRPr="006B02DE">
        <w:rPr>
          <w:rFonts w:ascii="Times New Roman" w:hAnsi="Times New Roman"/>
          <w:sz w:val="28"/>
          <w:szCs w:val="28"/>
        </w:rPr>
        <w:t xml:space="preserve">т </w:t>
      </w:r>
      <w:r w:rsidR="005C74C1">
        <w:rPr>
          <w:rFonts w:ascii="Times New Roman" w:hAnsi="Times New Roman"/>
          <w:sz w:val="28"/>
          <w:szCs w:val="28"/>
        </w:rPr>
        <w:t>2</w:t>
      </w:r>
      <w:r w:rsidR="007C5F70">
        <w:rPr>
          <w:rFonts w:ascii="Times New Roman" w:hAnsi="Times New Roman"/>
          <w:sz w:val="28"/>
          <w:szCs w:val="28"/>
        </w:rPr>
        <w:t>2</w:t>
      </w:r>
      <w:r w:rsidR="005C74C1">
        <w:rPr>
          <w:rFonts w:ascii="Times New Roman" w:hAnsi="Times New Roman"/>
          <w:sz w:val="28"/>
          <w:szCs w:val="28"/>
        </w:rPr>
        <w:t xml:space="preserve"> </w:t>
      </w:r>
      <w:r w:rsidR="007C5F70">
        <w:rPr>
          <w:rFonts w:ascii="Times New Roman" w:hAnsi="Times New Roman"/>
          <w:sz w:val="28"/>
          <w:szCs w:val="28"/>
        </w:rPr>
        <w:t>ноября</w:t>
      </w:r>
      <w:r w:rsidR="005C74C1">
        <w:rPr>
          <w:rFonts w:ascii="Times New Roman" w:hAnsi="Times New Roman"/>
          <w:sz w:val="28"/>
          <w:szCs w:val="28"/>
        </w:rPr>
        <w:t xml:space="preserve"> </w:t>
      </w:r>
      <w:r w:rsidR="005C74C1" w:rsidRPr="006B02DE">
        <w:rPr>
          <w:rFonts w:ascii="Times New Roman" w:hAnsi="Times New Roman"/>
          <w:sz w:val="28"/>
          <w:szCs w:val="28"/>
        </w:rPr>
        <w:t>20</w:t>
      </w:r>
      <w:r w:rsidR="005C74C1">
        <w:rPr>
          <w:rFonts w:ascii="Times New Roman" w:hAnsi="Times New Roman"/>
          <w:sz w:val="28"/>
          <w:szCs w:val="28"/>
        </w:rPr>
        <w:t xml:space="preserve">23 г. № </w:t>
      </w:r>
      <w:r w:rsidR="007C5F70">
        <w:rPr>
          <w:rFonts w:ascii="Times New Roman" w:hAnsi="Times New Roman"/>
          <w:sz w:val="28"/>
          <w:szCs w:val="28"/>
        </w:rPr>
        <w:t>24</w:t>
      </w:r>
      <w:r w:rsidR="005C74C1">
        <w:rPr>
          <w:rFonts w:ascii="Times New Roman" w:hAnsi="Times New Roman"/>
          <w:sz w:val="28"/>
          <w:szCs w:val="28"/>
        </w:rPr>
        <w:t xml:space="preserve"> «</w:t>
      </w:r>
      <w:r w:rsidR="005C74C1" w:rsidRPr="006B02DE">
        <w:rPr>
          <w:rFonts w:ascii="Times New Roman" w:hAnsi="Times New Roman"/>
          <w:sz w:val="28"/>
          <w:szCs w:val="28"/>
        </w:rPr>
        <w:t>О бюджете Чайковского городского округа на 20</w:t>
      </w:r>
      <w:r w:rsidR="005C74C1">
        <w:rPr>
          <w:rFonts w:ascii="Times New Roman" w:hAnsi="Times New Roman"/>
          <w:sz w:val="28"/>
          <w:szCs w:val="28"/>
        </w:rPr>
        <w:t>2</w:t>
      </w:r>
      <w:r w:rsidR="007C5F70">
        <w:rPr>
          <w:rFonts w:ascii="Times New Roman" w:hAnsi="Times New Roman"/>
          <w:sz w:val="28"/>
          <w:szCs w:val="28"/>
        </w:rPr>
        <w:t>4</w:t>
      </w:r>
      <w:r w:rsidR="005C74C1">
        <w:rPr>
          <w:rFonts w:ascii="Times New Roman" w:hAnsi="Times New Roman"/>
          <w:sz w:val="28"/>
          <w:szCs w:val="28"/>
        </w:rPr>
        <w:t xml:space="preserve"> год и на план</w:t>
      </w:r>
      <w:r w:rsidR="005C74C1" w:rsidRPr="006B02DE">
        <w:rPr>
          <w:rFonts w:ascii="Times New Roman" w:hAnsi="Times New Roman"/>
          <w:sz w:val="28"/>
          <w:szCs w:val="28"/>
        </w:rPr>
        <w:t>овый период 202</w:t>
      </w:r>
      <w:r w:rsidR="007C5F70">
        <w:rPr>
          <w:rFonts w:ascii="Times New Roman" w:hAnsi="Times New Roman"/>
          <w:sz w:val="28"/>
          <w:szCs w:val="28"/>
        </w:rPr>
        <w:t>5</w:t>
      </w:r>
      <w:r w:rsidR="005C74C1" w:rsidRPr="006B02DE">
        <w:rPr>
          <w:rFonts w:ascii="Times New Roman" w:hAnsi="Times New Roman"/>
          <w:sz w:val="28"/>
          <w:szCs w:val="28"/>
        </w:rPr>
        <w:t xml:space="preserve"> и 202</w:t>
      </w:r>
      <w:r w:rsidR="007C5F70">
        <w:rPr>
          <w:rFonts w:ascii="Times New Roman" w:hAnsi="Times New Roman"/>
          <w:sz w:val="28"/>
          <w:szCs w:val="28"/>
        </w:rPr>
        <w:t>6</w:t>
      </w:r>
      <w:r w:rsidR="005C74C1" w:rsidRPr="006B02DE">
        <w:rPr>
          <w:rFonts w:ascii="Times New Roman" w:hAnsi="Times New Roman"/>
          <w:sz w:val="28"/>
          <w:szCs w:val="28"/>
        </w:rPr>
        <w:t xml:space="preserve"> годов»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proofErr w:type="gramEnd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», утвержденную постановлением администрации города Чайковского от 21 января 2019 г. № 12/1 (в редакции постановлений от 01.04.2020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363, от 27.08.2020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16.10.2020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26.04.2021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31.05.2021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12.10.2021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13.12.2021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1299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22.02.2022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199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17.05.2022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942C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536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15.08.2022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872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10.10.2022 № 1091</w:t>
      </w:r>
      <w:r w:rsidR="005C74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03.03.2023 № 180</w:t>
      </w:r>
      <w:r w:rsidR="007C5F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19.05.2023 № 472</w:t>
      </w:r>
      <w:r w:rsidR="00423F1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09.01.2024 № 2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E96E68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E96E68" w:rsidRPr="003A6AD2" w:rsidRDefault="00E96E68" w:rsidP="00E96E68">
      <w:pPr>
        <w:widowControl w:val="0"/>
        <w:tabs>
          <w:tab w:val="left" w:pos="1413"/>
        </w:tabs>
        <w:spacing w:after="0" w:line="240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Постановление вступает в силу </w:t>
      </w:r>
      <w:r w:rsidR="004322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E4581D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E68" w:rsidRPr="003A6AD2" w:rsidRDefault="00E96E68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C8485A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85A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E96E68" w:rsidRPr="007C5F70" w:rsidRDefault="00E96E68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 w:rsidRPr="007C5F70">
                    <w:rPr>
                      <w:rFonts w:ascii="Times New Roman" w:hAnsi="Times New Roman"/>
                      <w:color w:val="000000"/>
                      <w:lang w:bidi="ru-RU"/>
                    </w:rPr>
                    <w:t>А.В. Агафонов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</w:t>
      </w:r>
    </w:p>
    <w:p w:rsidR="004D6814" w:rsidRDefault="00C23434" w:rsidP="004D6814">
      <w:pPr>
        <w:keepNext/>
        <w:keepLines/>
        <w:pageBreakBefore/>
        <w:widowControl w:val="0"/>
        <w:spacing w:after="0" w:line="360" w:lineRule="exact"/>
        <w:ind w:left="49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23434" w:rsidRPr="00C23434" w:rsidRDefault="00C23434" w:rsidP="004D681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D6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</w:t>
      </w:r>
      <w:r w:rsidR="004D68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842"/>
      </w:tblGrid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УЖКХиТ)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C23434" w:rsidRPr="00C23434" w:rsidRDefault="00E30EE9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</w:tc>
      </w:tr>
      <w:tr w:rsidR="00C234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BB15D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061730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  <w:p w:rsidR="005C74C1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74C1" w:rsidRPr="00C23434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653"/>
              <w:gridCol w:w="761"/>
              <w:gridCol w:w="656"/>
            </w:tblGrid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7C5F7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7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1C7A87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7C5F70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7C5F7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11,882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7C5F7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  <w:tr w:rsidR="00061730" w:rsidRPr="00F32D2D" w:rsidTr="007C5F70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730" w:rsidRPr="007C5F7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F32D2D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rPr>
          <w:trHeight w:val="3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08" w:type="dxa"/>
              <w:jc w:val="center"/>
              <w:tblLook w:val="04A0"/>
            </w:tblPr>
            <w:tblGrid>
              <w:gridCol w:w="1247"/>
              <w:gridCol w:w="1088"/>
              <w:gridCol w:w="1016"/>
              <w:gridCol w:w="1016"/>
              <w:gridCol w:w="1116"/>
              <w:gridCol w:w="1133"/>
              <w:gridCol w:w="992"/>
            </w:tblGrid>
            <w:tr w:rsidR="007C5F70" w:rsidRPr="00F32D2D" w:rsidTr="00423F13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7C5F70" w:rsidRPr="00E7021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7C5F70" w:rsidRPr="00F32D2D" w:rsidTr="00423F13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221 459,624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7C5F70" w:rsidRPr="00F32D2D" w:rsidTr="00423F13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175 129,324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 w:rsid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7C5F70" w:rsidRPr="00F32D2D" w:rsidTr="00423F13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46 330,300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7C5F70" w:rsidRPr="00F32D2D" w:rsidTr="00423F13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7C5F70" w:rsidRPr="00F32D2D" w:rsidTr="00423F13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5F70" w:rsidRPr="0006173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86696D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5F70" w:rsidRPr="00423F13" w:rsidRDefault="007C5F70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F70" w:rsidRPr="007C5F70" w:rsidRDefault="007C5F70" w:rsidP="007C5F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F32D2D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BB15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23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регламенту, утвержденному в установленном порядке</w:t>
            </w:r>
            <w:r w:rsidR="0086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7C5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составит 100 %.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210" w:rsidRDefault="00E70210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значительное количество бесхозяйных дорог - это в основном, бывшие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внутрипоселенческие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</w:t>
      </w:r>
      <w:proofErr w:type="spell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64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5C74C1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населенных пунктов 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576"/>
              <w:gridCol w:w="838"/>
              <w:gridCol w:w="656"/>
            </w:tblGrid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BB15DC" w:rsidRPr="00F32D2D" w:rsidTr="00F47FF7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56,6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67,9</w:t>
                  </w:r>
                </w:p>
              </w:tc>
            </w:tr>
            <w:tr w:rsidR="00BB15DC" w:rsidRPr="00F32D2D" w:rsidTr="00C451E0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16,696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11,882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</w:t>
                  </w:r>
                  <w:r w:rsidR="00423F13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10,110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3,610</w:t>
                  </w:r>
                </w:p>
              </w:tc>
            </w:tr>
            <w:tr w:rsidR="00BB15DC" w:rsidRPr="00F32D2D" w:rsidTr="00C451E0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4,537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061730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1,430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2,180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15DC" w:rsidRPr="0086696D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B15DC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3,450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1016"/>
              <w:gridCol w:w="1016"/>
              <w:gridCol w:w="1016"/>
              <w:gridCol w:w="961"/>
              <w:gridCol w:w="1094"/>
            </w:tblGrid>
            <w:tr w:rsidR="00BB15DC" w:rsidRPr="00F32D2D" w:rsidTr="00423F13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423F13" w:rsidRPr="00F32D2D" w:rsidTr="00423F13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061730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273 949,320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221 459,624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8 435,101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ind w:right="-87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228 964,062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229 451,662</w:t>
                  </w:r>
                </w:p>
              </w:tc>
            </w:tr>
            <w:tr w:rsidR="00423F13" w:rsidRPr="00F32D2D" w:rsidTr="00423F13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F13" w:rsidRPr="00061730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183 374,264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175 129,324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23F13" w:rsidRPr="00423F13" w:rsidRDefault="00423F13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71 517,501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164 666,262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F13" w:rsidRPr="00423F13" w:rsidRDefault="00423F13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165 153,862</w:t>
                  </w:r>
                </w:p>
              </w:tc>
            </w:tr>
            <w:tr w:rsidR="00BB15DC" w:rsidRPr="00F32D2D" w:rsidTr="00423F13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90 575,056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46 330,300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423F13" w:rsidRDefault="00BB15DC" w:rsidP="00423F13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66 917,600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5DC" w:rsidRPr="00423F13" w:rsidRDefault="00BB15DC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423F13" w:rsidRDefault="00BB15DC" w:rsidP="00423F13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23F13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64 297,800</w:t>
                  </w:r>
                </w:p>
              </w:tc>
            </w:tr>
            <w:tr w:rsidR="00BB15DC" w:rsidRPr="00F32D2D" w:rsidTr="00423F13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BB15DC" w:rsidRPr="00F32D2D" w:rsidTr="00423F13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7C5F7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C" w:rsidRPr="002D41CB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B15DC" w:rsidRPr="002D41CB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</w:t>
            </w:r>
            <w:r w:rsidR="00423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E82485" w:rsidRDefault="00BB15DC" w:rsidP="00BB15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53,135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64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DE0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DE09E8" w:rsidRDefault="006B7536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B15DC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</w:tr>
            <w:tr w:rsidR="00BB15DC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C23434" w:rsidRDefault="00BB15DC" w:rsidP="00BB15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15DC" w:rsidRPr="00DD0A88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Pr="004E45B2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15DC" w:rsidRDefault="00BB15DC" w:rsidP="00BB15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C23434" w:rsidTr="00181800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BB15DC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15DC" w:rsidRPr="0006173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BB15DC" w:rsidRPr="0086696D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BB15DC" w:rsidRPr="00E70210" w:rsidRDefault="00BB15DC" w:rsidP="00BB1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</w:t>
            </w:r>
            <w:r w:rsidR="00BB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423F13">
          <w:headerReference w:type="default" r:id="rId9"/>
          <w:footerReference w:type="default" r:id="rId10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563992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25" w:type="dxa"/>
        <w:tblLayout w:type="fixed"/>
        <w:tblLook w:val="04A0"/>
      </w:tblPr>
      <w:tblGrid>
        <w:gridCol w:w="1276"/>
        <w:gridCol w:w="879"/>
        <w:gridCol w:w="822"/>
        <w:gridCol w:w="851"/>
        <w:gridCol w:w="1118"/>
        <w:gridCol w:w="1101"/>
        <w:gridCol w:w="1025"/>
        <w:gridCol w:w="1150"/>
        <w:gridCol w:w="992"/>
        <w:gridCol w:w="1134"/>
        <w:gridCol w:w="6"/>
        <w:gridCol w:w="1118"/>
        <w:gridCol w:w="435"/>
        <w:gridCol w:w="681"/>
        <w:gridCol w:w="681"/>
        <w:gridCol w:w="681"/>
        <w:gridCol w:w="649"/>
        <w:gridCol w:w="710"/>
        <w:gridCol w:w="596"/>
        <w:gridCol w:w="20"/>
      </w:tblGrid>
      <w:tr w:rsidR="00F47FF7" w:rsidRPr="00F47FF7" w:rsidTr="00C53628">
        <w:trPr>
          <w:trHeight w:val="570"/>
        </w:trPr>
        <w:tc>
          <w:tcPr>
            <w:tcW w:w="159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D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Сводные финансовые затраты и показатели результативности выполнения муниципальной программы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«Муниципальные дороги Чайковского городского округа»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FF7" w:rsidRPr="00F47FF7" w:rsidTr="00C53628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  <w:proofErr w:type="spellEnd"/>
          </w:p>
        </w:tc>
        <w:tc>
          <w:tcPr>
            <w:tcW w:w="7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A21BC" w:rsidRPr="00F47FF7" w:rsidTr="00C53628">
        <w:trPr>
          <w:gridAfter w:val="1"/>
          <w:wAfter w:w="20" w:type="dxa"/>
          <w:trHeight w:val="7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BC" w:rsidRPr="00F47FF7" w:rsidRDefault="000A21BC" w:rsidP="000A21BC">
            <w:pPr>
              <w:spacing w:after="0" w:line="240" w:lineRule="auto"/>
              <w:ind w:left="-110" w:right="-8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 (план)</w:t>
            </w:r>
          </w:p>
        </w:tc>
      </w:tr>
      <w:tr w:rsidR="00F47FF7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F47FF7" w:rsidRPr="00F47FF7" w:rsidTr="00C53628">
        <w:trPr>
          <w:trHeight w:val="25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C451E0" w:rsidRPr="00F47FF7" w:rsidTr="00C53628">
        <w:trPr>
          <w:gridAfter w:val="1"/>
          <w:wAfter w:w="20" w:type="dxa"/>
          <w:trHeight w:val="1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24 376,727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56,6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</w:tr>
      <w:tr w:rsidR="00C451E0" w:rsidRPr="00F47FF7" w:rsidTr="00C53628">
        <w:trPr>
          <w:gridAfter w:val="1"/>
          <w:wAfter w:w="20" w:type="dxa"/>
          <w:trHeight w:val="1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944 977,131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129 099,882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969 353,858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110 895,642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114 067,891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129 099,882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146 335,903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145 724,044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144 071,780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 Ремонт  автомобильны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дорог общего пользования и искусственных сооружений на них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45 973,519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12 933,980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значения, на которых выполнен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18,338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16,696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11,882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</w:t>
            </w:r>
            <w:r w:rsidR="00423F13">
              <w:rPr>
                <w:rFonts w:ascii="Times New Roman" w:hAnsi="Times New Roman"/>
                <w:sz w:val="16"/>
                <w:szCs w:val="16"/>
              </w:rPr>
              <w:t>7</w:t>
            </w:r>
            <w:r w:rsidRPr="00C451E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10,110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right="-80"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3,610</w:t>
            </w:r>
          </w:p>
        </w:tc>
      </w:tr>
      <w:tr w:rsidR="00C451E0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284 694,725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330 668,244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129 339,800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3 347,474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3F13" w:rsidRPr="00F47FF7" w:rsidTr="00C53628">
        <w:trPr>
          <w:gridAfter w:val="1"/>
          <w:wAfter w:w="20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185 402,740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53 351,025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35 968,539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3" w:rsidRPr="00423F13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3F13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405 741,148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423F13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3F13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591 143,888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22 873,629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143 926,081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82 298,839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423F13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3F13">
              <w:rPr>
                <w:rFonts w:ascii="Times New Roman" w:hAnsi="Times New Roman"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3" w:rsidRPr="00C451E0" w:rsidRDefault="00423F13" w:rsidP="00423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i/>
                <w:i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13" w:rsidRPr="00F47FF7" w:rsidRDefault="00423F13" w:rsidP="00423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53628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238 707,898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35 807,609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56 698,499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35 968,539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23 256,328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12 415,616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19 259,416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929 143,771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152 213,429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147 273,555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82 298,839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sz w:val="16"/>
                <w:szCs w:val="16"/>
              </w:rPr>
              <w:t>90 173,928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76 713,416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83 557,216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14 027,765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2 142,366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26,132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4,537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C451E0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40 829,532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4 544,220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11 885,399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23,771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2,000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1,430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2,180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3,450</w:t>
            </w:r>
          </w:p>
        </w:tc>
      </w:tr>
      <w:tr w:rsidR="00C451E0" w:rsidRPr="00F47FF7" w:rsidTr="00C53628">
        <w:trPr>
          <w:gridAfter w:val="1"/>
          <w:wAfter w:w="20" w:type="dxa"/>
          <w:trHeight w:val="2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28 446,519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13 571,666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1 141,376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4 544,220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51E0" w:rsidRPr="00F47FF7" w:rsidTr="00C53628">
        <w:trPr>
          <w:gridAfter w:val="1"/>
          <w:wAfter w:w="20" w:type="dxa"/>
          <w:trHeight w:val="2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8 238,885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3 319,933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4 472,668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2,537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C451E0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54 857,297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21 035,727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5 614,044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6 686,586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6 526,602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1 822,666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451E0" w:rsidRPr="00F47FF7" w:rsidTr="00C53628">
        <w:trPr>
          <w:gridAfter w:val="1"/>
          <w:wAfter w:w="20" w:type="dxa"/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13 489,922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3 374,317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04AD" w:rsidRPr="00F47FF7" w:rsidTr="00C53628">
        <w:trPr>
          <w:gridAfter w:val="1"/>
          <w:wAfter w:w="20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F04AD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4AD" w:rsidRPr="009F04AD" w:rsidRDefault="000A21BC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F04AD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6 496,092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3 374,317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04AD" w:rsidRPr="00F47FF7" w:rsidTr="00C53628">
        <w:trPr>
          <w:gridAfter w:val="1"/>
          <w:wAfter w:w="20" w:type="dxa"/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C451E0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F47FF7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0,392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4AD" w:rsidRPr="009F04AD" w:rsidRDefault="009F04AD" w:rsidP="009F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F04A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451E0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14 181,126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1 196,505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6 993,830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3 374,317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1 925,270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E0" w:rsidRPr="00C451E0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1E0" w:rsidRPr="00F47FF7" w:rsidRDefault="00C451E0" w:rsidP="00C451E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1E0" w:rsidRPr="00F47FF7" w:rsidRDefault="00C451E0" w:rsidP="00C4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Задача 1.1.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277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175 129,324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967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221 459,624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277 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175 129,324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967 </w:t>
            </w:r>
          </w:p>
          <w:p w:rsidR="00C53628" w:rsidRPr="00C53628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221 459,624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C451E0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451E0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F47FF7" w:rsidRPr="00F47FF7" w:rsidTr="00C53628">
        <w:trPr>
          <w:trHeight w:val="315"/>
        </w:trPr>
        <w:tc>
          <w:tcPr>
            <w:tcW w:w="159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F47FF7" w:rsidRPr="00F47FF7" w:rsidTr="00C53628">
        <w:trPr>
          <w:gridAfter w:val="1"/>
          <w:wAfter w:w="20" w:type="dxa"/>
          <w:trHeight w:val="3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47FF7" w:rsidRPr="00F47FF7" w:rsidTr="00C53628">
        <w:trPr>
          <w:gridAfter w:val="1"/>
          <w:wAfter w:w="20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C451E0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451E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1 277 100,179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168 935,483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183 374,264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175 129,324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171 517,501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164 666,262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165 153,862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690 435,873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116 405,820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90 575,056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46 330,300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66 917,600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64 297,800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3628" w:rsidRPr="00F47FF7" w:rsidTr="00C53628">
        <w:trPr>
          <w:gridAfter w:val="1"/>
          <w:wAfter w:w="20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5A48C7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28" w:rsidRPr="00C53628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3628">
              <w:rPr>
                <w:rFonts w:ascii="Times New Roman" w:hAnsi="Times New Roman"/>
                <w:b/>
                <w:bCs/>
                <w:sz w:val="16"/>
                <w:szCs w:val="16"/>
              </w:rPr>
              <w:t>1 967 536,052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285 341,303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273 949,320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221 459,624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423F13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23F13">
              <w:rPr>
                <w:rFonts w:ascii="Times New Roman" w:hAnsi="Times New Roman"/>
                <w:b/>
                <w:bCs/>
                <w:sz w:val="16"/>
                <w:szCs w:val="16"/>
              </w:rPr>
              <w:t>238 435,101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228 964,062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5A48C7" w:rsidRDefault="00C53628" w:rsidP="00C53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48C7">
              <w:rPr>
                <w:rFonts w:ascii="Times New Roman" w:hAnsi="Times New Roman"/>
                <w:b/>
                <w:bCs/>
                <w:sz w:val="16"/>
                <w:szCs w:val="16"/>
              </w:rPr>
              <w:t>229 451,662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28" w:rsidRPr="00F47FF7" w:rsidRDefault="00C53628" w:rsidP="00C53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B736F" w:rsidRDefault="005B736F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Д%= Пн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 – общая протяженность  автомобильных дорог, на которых выполнен капитальный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</w:t>
            </w:r>
            <w:proofErr w:type="spell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C8485A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E96E68" w:rsidRDefault="00E96E68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68" w:rsidRDefault="00E96E68" w:rsidP="00E4581D">
      <w:pPr>
        <w:spacing w:after="0" w:line="240" w:lineRule="auto"/>
      </w:pPr>
      <w:r>
        <w:separator/>
      </w:r>
    </w:p>
  </w:endnote>
  <w:endnote w:type="continuationSeparator" w:id="0">
    <w:p w:rsidR="00E96E68" w:rsidRDefault="00E96E68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68" w:rsidRDefault="00E96E68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68" w:rsidRDefault="00E96E68" w:rsidP="00E4581D">
      <w:pPr>
        <w:spacing w:after="0" w:line="240" w:lineRule="auto"/>
      </w:pPr>
      <w:r>
        <w:separator/>
      </w:r>
    </w:p>
  </w:footnote>
  <w:footnote w:type="continuationSeparator" w:id="0">
    <w:p w:rsidR="00E96E68" w:rsidRDefault="00E96E68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E68" w:rsidRPr="00E96E68" w:rsidRDefault="00E96E68" w:rsidP="00E96E68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E96E68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23.04.2024 Срок  приема заключений независимых экспертов до 02.05.2024 на электронный адрес ud-mnpa@chaykovsky.permkrai.ru</w:t>
    </w:r>
  </w:p>
  <w:p w:rsidR="00E96E68" w:rsidRDefault="00E96E68">
    <w:pPr>
      <w:pStyle w:val="a9"/>
    </w:pPr>
  </w:p>
  <w:p w:rsidR="00E96E68" w:rsidRDefault="00E96E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02CF5"/>
    <w:rsid w:val="0004218C"/>
    <w:rsid w:val="00042BAD"/>
    <w:rsid w:val="00061730"/>
    <w:rsid w:val="00087DC1"/>
    <w:rsid w:val="00090035"/>
    <w:rsid w:val="000A21BC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5588F"/>
    <w:rsid w:val="00181800"/>
    <w:rsid w:val="001C7A87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45BED"/>
    <w:rsid w:val="00262404"/>
    <w:rsid w:val="00265A1C"/>
    <w:rsid w:val="002827B4"/>
    <w:rsid w:val="002864E8"/>
    <w:rsid w:val="002B1411"/>
    <w:rsid w:val="002B1E2D"/>
    <w:rsid w:val="002C6716"/>
    <w:rsid w:val="002D41CB"/>
    <w:rsid w:val="002E7D81"/>
    <w:rsid w:val="002F13EC"/>
    <w:rsid w:val="003062DD"/>
    <w:rsid w:val="00324708"/>
    <w:rsid w:val="003307AF"/>
    <w:rsid w:val="003446DE"/>
    <w:rsid w:val="00375E3B"/>
    <w:rsid w:val="003922E0"/>
    <w:rsid w:val="00392CDB"/>
    <w:rsid w:val="003A6AD2"/>
    <w:rsid w:val="003B7E8C"/>
    <w:rsid w:val="003C686E"/>
    <w:rsid w:val="003D42A9"/>
    <w:rsid w:val="00403280"/>
    <w:rsid w:val="00423F13"/>
    <w:rsid w:val="004322DC"/>
    <w:rsid w:val="004435E8"/>
    <w:rsid w:val="004803A2"/>
    <w:rsid w:val="004911BB"/>
    <w:rsid w:val="00491576"/>
    <w:rsid w:val="0049355E"/>
    <w:rsid w:val="004D6814"/>
    <w:rsid w:val="004E45B2"/>
    <w:rsid w:val="00500900"/>
    <w:rsid w:val="00512C7A"/>
    <w:rsid w:val="005135C1"/>
    <w:rsid w:val="00537329"/>
    <w:rsid w:val="0054592E"/>
    <w:rsid w:val="00563992"/>
    <w:rsid w:val="005A48C7"/>
    <w:rsid w:val="005B1859"/>
    <w:rsid w:val="005B4E09"/>
    <w:rsid w:val="005B736F"/>
    <w:rsid w:val="005C74C1"/>
    <w:rsid w:val="005D1DAB"/>
    <w:rsid w:val="005E0410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0368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C5F70"/>
    <w:rsid w:val="007D31EB"/>
    <w:rsid w:val="00816E20"/>
    <w:rsid w:val="00822DDF"/>
    <w:rsid w:val="00841705"/>
    <w:rsid w:val="008444F1"/>
    <w:rsid w:val="00863586"/>
    <w:rsid w:val="00864E1F"/>
    <w:rsid w:val="0086696D"/>
    <w:rsid w:val="00873A94"/>
    <w:rsid w:val="008D4C21"/>
    <w:rsid w:val="00903887"/>
    <w:rsid w:val="0090498F"/>
    <w:rsid w:val="009263E5"/>
    <w:rsid w:val="00942CE5"/>
    <w:rsid w:val="009530D4"/>
    <w:rsid w:val="00970AE4"/>
    <w:rsid w:val="00971929"/>
    <w:rsid w:val="009842CC"/>
    <w:rsid w:val="00993D98"/>
    <w:rsid w:val="009A23B4"/>
    <w:rsid w:val="009F04AD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05DCE"/>
    <w:rsid w:val="00B12C37"/>
    <w:rsid w:val="00B27042"/>
    <w:rsid w:val="00B34ADE"/>
    <w:rsid w:val="00B443D3"/>
    <w:rsid w:val="00B66776"/>
    <w:rsid w:val="00B702D1"/>
    <w:rsid w:val="00B746DA"/>
    <w:rsid w:val="00BB15DC"/>
    <w:rsid w:val="00BC7687"/>
    <w:rsid w:val="00BD674A"/>
    <w:rsid w:val="00BE1348"/>
    <w:rsid w:val="00BF513F"/>
    <w:rsid w:val="00C23434"/>
    <w:rsid w:val="00C451E0"/>
    <w:rsid w:val="00C53628"/>
    <w:rsid w:val="00C6260F"/>
    <w:rsid w:val="00C75C92"/>
    <w:rsid w:val="00C8485A"/>
    <w:rsid w:val="00C856BD"/>
    <w:rsid w:val="00C922CB"/>
    <w:rsid w:val="00C92609"/>
    <w:rsid w:val="00CA1D63"/>
    <w:rsid w:val="00CB239F"/>
    <w:rsid w:val="00CC7BFB"/>
    <w:rsid w:val="00D35825"/>
    <w:rsid w:val="00D43689"/>
    <w:rsid w:val="00D54A0B"/>
    <w:rsid w:val="00D61B07"/>
    <w:rsid w:val="00DD0A88"/>
    <w:rsid w:val="00DD3D6E"/>
    <w:rsid w:val="00DE09E8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70210"/>
    <w:rsid w:val="00E82485"/>
    <w:rsid w:val="00E85394"/>
    <w:rsid w:val="00E96E68"/>
    <w:rsid w:val="00EA5799"/>
    <w:rsid w:val="00F32D2D"/>
    <w:rsid w:val="00F37E0C"/>
    <w:rsid w:val="00F436E6"/>
    <w:rsid w:val="00F47FF7"/>
    <w:rsid w:val="00F81832"/>
    <w:rsid w:val="00F9657A"/>
    <w:rsid w:val="00FB0CC6"/>
    <w:rsid w:val="00FB579E"/>
    <w:rsid w:val="00FC09AC"/>
    <w:rsid w:val="00FC3078"/>
    <w:rsid w:val="00FD21E1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8C2E-69D1-4292-AA02-4B382EB0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16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2</cp:revision>
  <cp:lastPrinted>2021-04-13T06:40:00Z</cp:lastPrinted>
  <dcterms:created xsi:type="dcterms:W3CDTF">2024-04-23T04:48:00Z</dcterms:created>
  <dcterms:modified xsi:type="dcterms:W3CDTF">2024-04-23T04:48:00Z</dcterms:modified>
</cp:coreProperties>
</file>